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 xml:space="preserve">美国乔治华盛顿大学 </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暑期学分项目选拔通知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w:t>
      </w:r>
      <w:r>
        <w:rPr>
          <w:rFonts w:hint="eastAsia" w:cs="Calibri" w:asciiTheme="minorHAnsi" w:hAnsiTheme="minorHAnsi"/>
          <w:kern w:val="0"/>
          <w:szCs w:val="21"/>
        </w:rPr>
        <w:t>8</w:t>
      </w:r>
      <w:r>
        <w:rPr>
          <w:rFonts w:cs="Calibri" w:asciiTheme="minorHAnsi" w:hAnsiTheme="minorHAnsi"/>
          <w:kern w:val="0"/>
          <w:szCs w:val="21"/>
        </w:rPr>
        <w:t>年暑期</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jc w:val="left"/>
        <w:rPr>
          <w:rFonts w:cs="Calibri" w:asciiTheme="minorHAnsi" w:hAnsiTheme="minorHAnsi"/>
          <w:szCs w:val="21"/>
        </w:rPr>
      </w:pPr>
      <w:r>
        <w:rPr>
          <w:rFonts w:asciiTheme="minorHAnsi" w:hAnsiTheme="minorHAnsi" w:eastAsiaTheme="majorEastAsia" w:cstheme="minorHAnsi"/>
          <w:kern w:val="0"/>
          <w:szCs w:val="21"/>
        </w:rPr>
        <w:t>依据我校发展国际化教育的方针和校际合作协议，为实施我校的教育国际化战略，培养具有国际视野和国际竞争力的高素质人才，鼓励我校学生出国（境）深造获得第二校园的学习经历，</w:t>
      </w:r>
      <w:r>
        <w:rPr>
          <w:rFonts w:cs="Calibri" w:asciiTheme="minorHAnsi" w:hAnsiTheme="minorHAnsi"/>
          <w:kern w:val="0"/>
          <w:szCs w:val="21"/>
        </w:rPr>
        <w:t>201</w:t>
      </w:r>
      <w:r>
        <w:rPr>
          <w:rFonts w:hint="eastAsia" w:cs="Calibri" w:asciiTheme="minorHAnsi" w:hAnsiTheme="minorHAnsi"/>
          <w:kern w:val="0"/>
          <w:szCs w:val="21"/>
        </w:rPr>
        <w:t>8</w:t>
      </w:r>
      <w:r>
        <w:rPr>
          <w:rFonts w:cs="Calibri" w:asciiTheme="minorHAnsi" w:hAnsiTheme="minorHAnsi"/>
          <w:kern w:val="0"/>
          <w:szCs w:val="21"/>
        </w:rPr>
        <w:t>年暑期，</w:t>
      </w:r>
      <w:r>
        <w:rPr>
          <w:rFonts w:cs="Calibri" w:asciiTheme="minorHAnsi" w:hAnsiTheme="minorHAnsi"/>
          <w:szCs w:val="21"/>
        </w:rPr>
        <w:t>我校将选派指定名额的优秀在校生前往美国著名私立大学</w:t>
      </w:r>
      <w:r>
        <w:rPr>
          <w:rFonts w:cs="Calibri" w:asciiTheme="minorHAnsi" w:hAnsiTheme="minorHAnsi"/>
          <w:b/>
          <w:szCs w:val="21"/>
        </w:rPr>
        <w:t>乔治华盛顿大学</w:t>
      </w:r>
      <w:r>
        <w:rPr>
          <w:rFonts w:cs="Calibri" w:asciiTheme="minorHAnsi" w:hAnsiTheme="minorHAnsi"/>
          <w:b/>
          <w:bCs/>
          <w:kern w:val="0"/>
          <w:szCs w:val="21"/>
        </w:rPr>
        <w:t>（the George Washington University）</w:t>
      </w:r>
      <w:r>
        <w:rPr>
          <w:rFonts w:cs="Calibri" w:asciiTheme="minorHAnsi" w:hAnsiTheme="minorHAnsi"/>
          <w:szCs w:val="21"/>
        </w:rPr>
        <w:t>，参加6周的访问学习。</w:t>
      </w:r>
      <w:r>
        <w:rPr>
          <w:rFonts w:cs="Calibri" w:asciiTheme="minorHAnsi" w:hAnsiTheme="minorHAnsi"/>
          <w:b/>
          <w:szCs w:val="21"/>
        </w:rPr>
        <w:t>由全美国际教育协会与我校共同选拔</w:t>
      </w:r>
      <w:r>
        <w:rPr>
          <w:rFonts w:hint="eastAsia" w:cs="Calibri" w:asciiTheme="minorHAnsi" w:hAnsiTheme="minorHAnsi"/>
          <w:b/>
          <w:szCs w:val="21"/>
        </w:rPr>
        <w:t>的学生，可享受乔治华盛顿大学50%学费减免</w:t>
      </w:r>
      <w:r>
        <w:rPr>
          <w:rFonts w:hint="eastAsia" w:cs="Calibri" w:asciiTheme="minorHAnsi" w:hAnsiTheme="minorHAnsi"/>
          <w:szCs w:val="21"/>
        </w:rPr>
        <w:t>。2018年暑期选拔名额为专业学分课程与暑期学术研究课程学生共</w:t>
      </w:r>
      <w:r>
        <w:rPr>
          <w:rFonts w:hint="eastAsia" w:cs="Calibri" w:asciiTheme="minorHAnsi" w:hAnsiTheme="minorHAnsi"/>
          <w:szCs w:val="21"/>
          <w:highlight w:val="yellow"/>
          <w:shd w:val="clear" w:fill="FF0000"/>
          <w:lang w:val="en-US" w:eastAsia="zh-CN"/>
        </w:rPr>
        <w:t>2</w:t>
      </w:r>
      <w:r>
        <w:rPr>
          <w:rFonts w:hint="eastAsia" w:cs="Calibri" w:asciiTheme="minorHAnsi" w:hAnsiTheme="minorHAnsi"/>
          <w:szCs w:val="21"/>
        </w:rPr>
        <w:t>名，报名截止日期为2018年4月30日，项目将会在全国范围内启动选拔，一旦录满，即刻停止报名。</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 xml:space="preserve">1、 </w:t>
      </w:r>
      <w:r>
        <w:rPr>
          <w:rFonts w:cs="Calibri" w:asciiTheme="minorHAnsi" w:hAnsiTheme="minorHAnsi"/>
          <w:b/>
          <w:szCs w:val="21"/>
        </w:rPr>
        <w:t>乔治华盛顿大学</w:t>
      </w:r>
      <w:r>
        <w:rPr>
          <w:rFonts w:asciiTheme="minorHAnsi" w:hAnsiTheme="minorHAnsi" w:eastAsiaTheme="majorEastAsia" w:cstheme="minorHAnsi"/>
          <w:b/>
          <w:bCs/>
          <w:kern w:val="0"/>
          <w:szCs w:val="21"/>
        </w:rPr>
        <w:t>简介</w:t>
      </w:r>
    </w:p>
    <w:p>
      <w:pPr>
        <w:widowControl/>
        <w:spacing w:line="360" w:lineRule="auto"/>
        <w:ind w:left="1" w:firstLine="419"/>
        <w:jc w:val="left"/>
        <w:rPr>
          <w:rFonts w:asciiTheme="minorHAnsi" w:hAnsiTheme="minorHAnsi" w:cstheme="minorHAnsi"/>
          <w:kern w:val="0"/>
          <w:szCs w:val="21"/>
        </w:rPr>
      </w:pPr>
      <w:r>
        <w:rPr>
          <w:rFonts w:cs="Calibri" w:asciiTheme="minorHAnsi" w:hAnsiTheme="minorHAnsi"/>
          <w:szCs w:val="21"/>
        </w:rPr>
        <w:t>乔治华盛顿大学于1821年为了纪念美国国父乔治·华盛顿而创建，是一所世界一流的著名私立研究型大学。学校</w:t>
      </w:r>
      <w:r>
        <w:rPr>
          <w:rFonts w:asciiTheme="minorHAnsi" w:hAnsiTheme="minorHAnsi" w:cstheme="minorHAnsi"/>
          <w:kern w:val="0"/>
          <w:szCs w:val="21"/>
        </w:rPr>
        <w:t>位</w:t>
      </w:r>
      <w:r>
        <w:rPr>
          <w:rFonts w:cs="Calibri" w:asciiTheme="minorHAnsi" w:hAnsiTheme="minorHAnsi"/>
          <w:szCs w:val="21"/>
        </w:rPr>
        <w:t>于美国首都华盛顿市，地理位置优越</w:t>
      </w:r>
      <w:r>
        <w:rPr>
          <w:rFonts w:hint="eastAsia" w:cs="Calibri" w:asciiTheme="minorHAnsi" w:hAnsiTheme="minorHAnsi"/>
          <w:szCs w:val="21"/>
        </w:rPr>
        <w:t>，</w:t>
      </w:r>
      <w:r>
        <w:rPr>
          <w:rFonts w:cs="Calibri" w:asciiTheme="minorHAnsi" w:hAnsiTheme="minorHAnsi"/>
          <w:szCs w:val="21"/>
        </w:rPr>
        <w:t>比邻美国国务院、世界银行、国际货币基金组织，距白宫只有几个街区。</w:t>
      </w:r>
      <w:r>
        <w:rPr>
          <w:rFonts w:hint="eastAsia" w:cs="Calibri" w:asciiTheme="minorHAnsi" w:hAnsiTheme="minorHAnsi"/>
          <w:szCs w:val="21"/>
        </w:rPr>
        <w:t xml:space="preserve"> </w:t>
      </w:r>
      <w:r>
        <w:rPr>
          <w:rFonts w:cs="Calibri" w:asciiTheme="minorHAnsi" w:hAnsiTheme="minorHAnsi"/>
          <w:szCs w:val="21"/>
        </w:rPr>
        <w:t>乔治华盛顿大学被誉为美国“政治家的摇篮”，历史上曾培养出众多影响美国历史的政界、军界、学术界、商界等领域的领袖人物。其</w:t>
      </w:r>
      <w:r>
        <w:rPr>
          <w:rFonts w:cs="宋体" w:asciiTheme="minorHAnsi" w:hAnsiTheme="minorHAnsi"/>
          <w:kern w:val="0"/>
          <w:szCs w:val="21"/>
        </w:rPr>
        <w:t>优势学科包括国际关系（美国《外交政策》学刊排名世界第7位）、公共事务（全美排名第13位）、社会政策（全美排名第20位）、法律</w:t>
      </w:r>
      <w:r>
        <w:rPr>
          <w:rFonts w:hint="eastAsia" w:cs="宋体" w:asciiTheme="minorHAnsi" w:hAnsiTheme="minorHAnsi"/>
          <w:kern w:val="0"/>
          <w:szCs w:val="21"/>
        </w:rPr>
        <w:t>（</w:t>
      </w:r>
      <w:r>
        <w:rPr>
          <w:rFonts w:cs="宋体" w:asciiTheme="minorHAnsi" w:hAnsiTheme="minorHAnsi"/>
          <w:kern w:val="0"/>
          <w:szCs w:val="21"/>
        </w:rPr>
        <w:t>知识产权法全美排名第</w:t>
      </w:r>
      <w:r>
        <w:rPr>
          <w:rFonts w:hint="eastAsia" w:cs="宋体" w:asciiTheme="minorHAnsi" w:hAnsiTheme="minorHAnsi"/>
          <w:kern w:val="0"/>
          <w:szCs w:val="21"/>
        </w:rPr>
        <w:t>4位，国际法全美排名第7位）</w:t>
      </w:r>
      <w:r>
        <w:rPr>
          <w:rFonts w:cs="宋体" w:asciiTheme="minorHAnsi" w:hAnsiTheme="minorHAnsi"/>
          <w:kern w:val="0"/>
          <w:szCs w:val="21"/>
        </w:rPr>
        <w:t>、政治科学</w:t>
      </w:r>
      <w:r>
        <w:rPr>
          <w:rFonts w:hint="eastAsia" w:cs="宋体" w:asciiTheme="minorHAnsi" w:hAnsiTheme="minorHAnsi"/>
          <w:kern w:val="0"/>
          <w:szCs w:val="21"/>
        </w:rPr>
        <w:t>（</w:t>
      </w:r>
      <w:r>
        <w:rPr>
          <w:rFonts w:cs="宋体" w:asciiTheme="minorHAnsi" w:hAnsiTheme="minorHAnsi"/>
          <w:kern w:val="0"/>
          <w:szCs w:val="21"/>
        </w:rPr>
        <w:t>全美排名第</w:t>
      </w:r>
      <w:r>
        <w:rPr>
          <w:rFonts w:hint="eastAsia" w:cs="宋体" w:asciiTheme="minorHAnsi" w:hAnsiTheme="minorHAnsi"/>
          <w:kern w:val="0"/>
          <w:szCs w:val="21"/>
        </w:rPr>
        <w:t>40</w:t>
      </w:r>
      <w:r>
        <w:rPr>
          <w:rFonts w:cs="宋体" w:asciiTheme="minorHAnsi" w:hAnsiTheme="minorHAnsi"/>
          <w:kern w:val="0"/>
          <w:szCs w:val="21"/>
        </w:rPr>
        <w:t>位</w:t>
      </w:r>
      <w:r>
        <w:rPr>
          <w:rFonts w:hint="eastAsia" w:cs="宋体" w:asciiTheme="minorHAnsi" w:hAnsiTheme="minorHAnsi"/>
          <w:kern w:val="0"/>
          <w:szCs w:val="21"/>
        </w:rPr>
        <w:t>）</w:t>
      </w:r>
      <w:r>
        <w:rPr>
          <w:rFonts w:cs="宋体" w:asciiTheme="minorHAnsi" w:hAnsiTheme="minorHAnsi"/>
          <w:kern w:val="0"/>
          <w:szCs w:val="21"/>
        </w:rPr>
        <w:t>、教育</w:t>
      </w:r>
      <w:r>
        <w:rPr>
          <w:rFonts w:hint="eastAsia" w:cs="宋体" w:asciiTheme="minorHAnsi" w:hAnsiTheme="minorHAnsi"/>
          <w:kern w:val="0"/>
          <w:szCs w:val="21"/>
        </w:rPr>
        <w:t>、</w:t>
      </w:r>
      <w:r>
        <w:rPr>
          <w:rFonts w:cs="宋体" w:asciiTheme="minorHAnsi" w:hAnsiTheme="minorHAnsi"/>
          <w:kern w:val="0"/>
          <w:szCs w:val="21"/>
        </w:rPr>
        <w:t>商科等。</w:t>
      </w:r>
    </w:p>
    <w:p>
      <w:pPr>
        <w:spacing w:line="360" w:lineRule="auto"/>
        <w:ind w:left="420"/>
        <w:rPr>
          <w:rFonts w:asciiTheme="minorHAnsi" w:hAnsiTheme="minorHAnsi" w:eastAsiaTheme="majorEastAsia" w:cstheme="minorHAnsi"/>
          <w:szCs w:val="21"/>
        </w:rPr>
      </w:pP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《美国新闻与世界报道》发布的美国大学权威排名中，乔治华盛顿</w:t>
      </w:r>
      <w:r>
        <w:rPr>
          <w:rFonts w:asciiTheme="minorHAnsi" w:hAnsiTheme="minorHAnsi" w:eastAsiaTheme="majorEastAsia" w:cstheme="minorHAnsi"/>
          <w:szCs w:val="21"/>
        </w:rPr>
        <w:t>大学在全</w:t>
      </w:r>
    </w:p>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美大学综合排名中位列第56位；世界大学排名第2</w:t>
      </w:r>
      <w:r>
        <w:rPr>
          <w:rFonts w:hint="eastAsia" w:asciiTheme="minorHAnsi" w:hAnsiTheme="minorHAnsi" w:eastAsiaTheme="majorEastAsia" w:cstheme="minorHAnsi"/>
          <w:szCs w:val="21"/>
        </w:rPr>
        <w:t>60</w:t>
      </w:r>
      <w:r>
        <w:rPr>
          <w:rFonts w:asciiTheme="minorHAnsi" w:hAnsiTheme="minorHAnsi" w:eastAsiaTheme="majorEastAsia" w:cstheme="minorHAnsi"/>
          <w:szCs w:val="21"/>
        </w:rPr>
        <w:t>位。</w:t>
      </w:r>
    </w:p>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ab/>
      </w:r>
      <w:r>
        <w:rPr>
          <w:rFonts w:asciiTheme="minorHAnsi" w:hAnsiTheme="minorHAnsi" w:cstheme="minorHAnsi"/>
          <w:kern w:val="0"/>
          <w:szCs w:val="21"/>
        </w:rPr>
        <w:t>乔治华盛顿</w:t>
      </w:r>
      <w:r>
        <w:rPr>
          <w:rFonts w:asciiTheme="minorHAnsi" w:hAnsiTheme="minorHAnsi" w:eastAsiaTheme="majorEastAsia" w:cstheme="minorHAnsi"/>
          <w:szCs w:val="21"/>
        </w:rPr>
        <w:t>大学学生数量超过</w:t>
      </w:r>
      <w:r>
        <w:rPr>
          <w:rFonts w:hint="eastAsia" w:asciiTheme="minorHAnsi" w:hAnsiTheme="minorHAnsi" w:eastAsiaTheme="majorEastAsia" w:cstheme="minorHAnsi"/>
          <w:szCs w:val="21"/>
        </w:rPr>
        <w:t>26,000人，</w:t>
      </w:r>
      <w:r>
        <w:rPr>
          <w:rFonts w:asciiTheme="minorHAnsi" w:hAnsiTheme="minorHAnsi" w:eastAsiaTheme="majorEastAsia" w:cstheme="minorHAnsi"/>
          <w:szCs w:val="21"/>
        </w:rPr>
        <w:t>下属10个本科/研究生学院，包括商学院、专业研究学院、哥伦比亚文理学院、科克伦艺术与设计学院、艾略特国际事务学院、工程与应用科学学院、传媒与公共事务学院、医学与健康科学学院、公共卫生学院与护理学院。此外，还设有4所研究生院，包括教育与人类发展学院、政治管理学院、法学院及公共政策与公共管理学院。</w:t>
      </w:r>
    </w:p>
    <w:p>
      <w:pPr>
        <w:spacing w:line="360" w:lineRule="auto"/>
        <w:rPr>
          <w:rFonts w:asciiTheme="minorHAnsi" w:hAnsiTheme="minorHAnsi" w:eastAsiaTheme="majorEastAsia" w:cstheme="minorHAnsi"/>
          <w:szCs w:val="21"/>
        </w:rPr>
      </w:pPr>
    </w:p>
    <w:p>
      <w:pPr>
        <w:spacing w:line="360" w:lineRule="auto"/>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 xml:space="preserve">2、 </w:t>
      </w:r>
      <w:r>
        <w:rPr>
          <w:rFonts w:asciiTheme="minorHAnsi" w:hAnsiTheme="minorHAnsi" w:eastAsiaTheme="majorEastAsia" w:cstheme="minorHAnsi"/>
          <w:b/>
          <w:szCs w:val="21"/>
        </w:rPr>
        <w:t>访学时间及</w:t>
      </w:r>
      <w:r>
        <w:rPr>
          <w:rFonts w:hint="eastAsia" w:asciiTheme="minorHAnsi" w:hAnsiTheme="minorHAnsi" w:eastAsiaTheme="majorEastAsia" w:cstheme="minorHAnsi"/>
          <w:b/>
          <w:szCs w:val="21"/>
        </w:rPr>
        <w:t>课程</w:t>
      </w:r>
      <w:r>
        <w:rPr>
          <w:rFonts w:asciiTheme="minorHAnsi" w:hAnsiTheme="minorHAnsi" w:eastAsiaTheme="majorEastAsia" w:cstheme="minorHAnsi"/>
          <w:b/>
          <w:szCs w:val="21"/>
        </w:rPr>
        <w:t>介绍</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2018年暑期的</w:t>
      </w:r>
      <w:r>
        <w:rPr>
          <w:rFonts w:asciiTheme="minorHAnsi" w:hAnsiTheme="minorHAnsi" w:eastAsiaTheme="majorEastAsia" w:cstheme="minorHAnsi"/>
          <w:szCs w:val="21"/>
        </w:rPr>
        <w:t>访学时间为</w:t>
      </w:r>
      <w:r>
        <w:rPr>
          <w:rFonts w:asciiTheme="minorHAnsi" w:hAnsiTheme="minorHAnsi" w:eastAsiaTheme="majorEastAsia" w:cstheme="minorHAnsi"/>
          <w:b/>
          <w:szCs w:val="21"/>
        </w:rPr>
        <w:t>201</w:t>
      </w:r>
      <w:r>
        <w:rPr>
          <w:rFonts w:hint="eastAsia" w:asciiTheme="minorHAnsi" w:hAnsiTheme="minorHAnsi" w:eastAsiaTheme="majorEastAsia" w:cstheme="minorHAnsi"/>
          <w:b/>
          <w:szCs w:val="21"/>
        </w:rPr>
        <w:t>8</w:t>
      </w:r>
      <w:r>
        <w:rPr>
          <w:rFonts w:asciiTheme="minorHAnsi" w:hAnsiTheme="minorHAnsi" w:eastAsiaTheme="majorEastAsia" w:cstheme="minorHAnsi"/>
          <w:b/>
          <w:szCs w:val="21"/>
        </w:rPr>
        <w:t>年</w:t>
      </w:r>
      <w:r>
        <w:rPr>
          <w:rFonts w:hint="eastAsia" w:asciiTheme="minorHAnsi" w:hAnsiTheme="minorHAnsi" w:eastAsiaTheme="majorEastAsia" w:cstheme="minorHAnsi"/>
          <w:b/>
          <w:szCs w:val="21"/>
        </w:rPr>
        <w:t>7</w:t>
      </w:r>
      <w:r>
        <w:rPr>
          <w:rFonts w:asciiTheme="minorHAnsi" w:hAnsiTheme="minorHAnsi" w:eastAsiaTheme="majorEastAsia" w:cstheme="minorHAnsi"/>
          <w:b/>
          <w:szCs w:val="21"/>
        </w:rPr>
        <w:t>月</w:t>
      </w:r>
      <w:r>
        <w:rPr>
          <w:rFonts w:hint="eastAsia" w:asciiTheme="minorHAnsi" w:hAnsiTheme="minorHAnsi" w:eastAsiaTheme="majorEastAsia" w:cstheme="minorHAnsi"/>
          <w:b/>
          <w:szCs w:val="21"/>
        </w:rPr>
        <w:t>1</w:t>
      </w:r>
      <w:r>
        <w:rPr>
          <w:rFonts w:asciiTheme="minorHAnsi" w:hAnsiTheme="minorHAnsi" w:eastAsiaTheme="majorEastAsia" w:cstheme="minorHAnsi"/>
          <w:b/>
          <w:szCs w:val="21"/>
        </w:rPr>
        <w:t>日 –</w:t>
      </w:r>
      <w:r>
        <w:rPr>
          <w:rFonts w:hint="eastAsia" w:asciiTheme="minorHAnsi" w:hAnsiTheme="minorHAnsi" w:eastAsiaTheme="majorEastAsia" w:cstheme="minorHAnsi"/>
          <w:b/>
          <w:szCs w:val="21"/>
        </w:rPr>
        <w:t xml:space="preserve"> </w:t>
      </w:r>
      <w:r>
        <w:rPr>
          <w:rFonts w:asciiTheme="minorHAnsi" w:hAnsiTheme="minorHAnsi" w:eastAsiaTheme="majorEastAsia" w:cstheme="minorHAnsi"/>
          <w:b/>
          <w:szCs w:val="21"/>
        </w:rPr>
        <w:t>8月</w:t>
      </w:r>
      <w:r>
        <w:rPr>
          <w:rFonts w:hint="eastAsia" w:asciiTheme="minorHAnsi" w:hAnsiTheme="minorHAnsi" w:eastAsiaTheme="majorEastAsia" w:cstheme="minorHAnsi"/>
          <w:b/>
          <w:szCs w:val="21"/>
        </w:rPr>
        <w:t>10</w:t>
      </w:r>
      <w:r>
        <w:rPr>
          <w:rFonts w:asciiTheme="minorHAnsi" w:hAnsiTheme="minorHAnsi" w:eastAsiaTheme="majorEastAsia" w:cstheme="minorHAnsi"/>
          <w:b/>
          <w:szCs w:val="21"/>
        </w:rPr>
        <w:t>日（</w:t>
      </w:r>
      <w:r>
        <w:rPr>
          <w:rFonts w:hint="eastAsia" w:asciiTheme="minorHAnsi" w:hAnsiTheme="minorHAnsi" w:eastAsiaTheme="majorEastAsia" w:cstheme="minorHAnsi"/>
          <w:b/>
          <w:szCs w:val="21"/>
        </w:rPr>
        <w:t>6</w:t>
      </w:r>
      <w:r>
        <w:rPr>
          <w:rFonts w:asciiTheme="minorHAnsi" w:hAnsiTheme="minorHAnsi" w:eastAsiaTheme="majorEastAsia" w:cstheme="minorHAnsi"/>
          <w:b/>
          <w:szCs w:val="21"/>
        </w:rPr>
        <w:t>周）</w:t>
      </w:r>
      <w:r>
        <w:rPr>
          <w:rFonts w:hint="eastAsia" w:asciiTheme="minorHAnsi" w:hAnsiTheme="minorHAnsi" w:eastAsiaTheme="majorEastAsia" w:cstheme="minorHAnsi"/>
          <w:szCs w:val="21"/>
        </w:rPr>
        <w:t>。根据学习目标和专业背景的不同，参加项目的学生可选报两类课程：</w:t>
      </w:r>
      <w:r>
        <w:rPr>
          <w:rFonts w:hint="eastAsia" w:asciiTheme="minorHAnsi" w:hAnsiTheme="minorHAnsi" w:eastAsiaTheme="majorEastAsia" w:cstheme="minorHAnsi"/>
          <w:szCs w:val="21"/>
          <w:u w:val="single"/>
        </w:rPr>
        <w:t>专业学分课程</w:t>
      </w:r>
      <w:r>
        <w:rPr>
          <w:rFonts w:hint="eastAsia" w:asciiTheme="minorHAnsi" w:hAnsiTheme="minorHAnsi" w:eastAsiaTheme="majorEastAsia" w:cstheme="minorHAnsi"/>
          <w:szCs w:val="21"/>
        </w:rPr>
        <w:t>与</w:t>
      </w:r>
      <w:r>
        <w:rPr>
          <w:rFonts w:hint="eastAsia" w:asciiTheme="minorHAnsi" w:hAnsiTheme="minorHAnsi" w:eastAsiaTheme="majorEastAsia" w:cstheme="minorHAnsi"/>
          <w:szCs w:val="21"/>
          <w:u w:val="single"/>
        </w:rPr>
        <w:t>暑期学术研究课程</w:t>
      </w:r>
      <w:r>
        <w:rPr>
          <w:rFonts w:hint="eastAsia" w:asciiTheme="minorHAnsi" w:hAnsiTheme="minorHAnsi" w:eastAsiaTheme="majorEastAsia" w:cstheme="minorHAnsi"/>
          <w:szCs w:val="21"/>
        </w:rPr>
        <w:t>。项目由乔治华盛顿大学进行统一的学术管理与学术考核，学生持有乔治华盛顿大学学生证，享受与乔治华盛顿大学学位学生同等的学术资源与校园设施（如图书馆、健身中心、计算机实验室和学生健康服务），并可入住校内宿舍。完成学习并通过考核后，获得乔治华盛顿大学的正式学分及成绩单。</w:t>
      </w:r>
      <w:r>
        <w:rPr>
          <w:rFonts w:asciiTheme="minorHAnsi" w:hAnsiTheme="minorHAnsi" w:eastAsiaTheme="majorEastAsia" w:cstheme="minorHAnsi"/>
          <w:szCs w:val="21"/>
        </w:rPr>
        <w:t>经本校教务处获院系评估认可的学分可转为本校学分。</w:t>
      </w:r>
      <w:r>
        <w:rPr>
          <w:rFonts w:hint="eastAsia" w:asciiTheme="minorHAnsi" w:hAnsiTheme="minorHAnsi" w:eastAsiaTheme="majorEastAsia" w:cstheme="minorHAnsi"/>
          <w:szCs w:val="21"/>
        </w:rPr>
        <w:br w:type="textWrapping"/>
      </w:r>
      <w:r>
        <w:rPr>
          <w:rFonts w:hint="eastAsia" w:asciiTheme="minorHAnsi" w:hAnsiTheme="minorHAnsi" w:eastAsiaTheme="majorEastAsia" w:cstheme="minorHAnsi"/>
          <w:szCs w:val="21"/>
        </w:rPr>
        <w:br w:type="textWrapping"/>
      </w:r>
      <w:r>
        <w:rPr>
          <w:rFonts w:hint="eastAsia" w:asciiTheme="minorHAnsi" w:hAnsiTheme="minorHAnsi" w:eastAsiaTheme="majorEastAsia" w:cstheme="minorHAnsi"/>
          <w:b/>
          <w:szCs w:val="21"/>
          <w:u w:val="single"/>
        </w:rPr>
        <w:t>方向一：专业学分课程（General Study）</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英文标准化考试成绩达到项目要求并希望提高专业水平的学生，通过本校、全美国际教育协会、以及</w:t>
      </w:r>
      <w:r>
        <w:rPr>
          <w:rFonts w:hint="eastAsia" w:asciiTheme="minorHAnsi" w:hAnsiTheme="minorHAnsi" w:eastAsiaTheme="majorEastAsia" w:cstheme="minorHAnsi"/>
          <w:szCs w:val="21"/>
        </w:rPr>
        <w:t>乔治华盛顿</w:t>
      </w:r>
      <w:r>
        <w:rPr>
          <w:rFonts w:asciiTheme="minorHAnsi" w:hAnsiTheme="minorHAnsi" w:eastAsiaTheme="majorEastAsia" w:cstheme="minorHAnsi"/>
          <w:szCs w:val="21"/>
        </w:rPr>
        <w:t>大学的共同选拔后，可以</w:t>
      </w:r>
      <w:r>
        <w:rPr>
          <w:rFonts w:hint="eastAsia" w:asciiTheme="minorHAnsi" w:hAnsiTheme="minorHAnsi" w:eastAsiaTheme="majorEastAsia" w:cstheme="minorHAnsi"/>
          <w:szCs w:val="21"/>
        </w:rPr>
        <w:t>选择修读</w:t>
      </w:r>
      <w:r>
        <w:rPr>
          <w:rFonts w:asciiTheme="minorHAnsi" w:hAnsiTheme="minorHAnsi" w:eastAsiaTheme="majorEastAsia" w:cstheme="minorHAnsi"/>
          <w:szCs w:val="21"/>
        </w:rPr>
        <w:t>与本专业相关的专业课程，有</w:t>
      </w:r>
      <w:r>
        <w:fldChar w:fldCharType="begin"/>
      </w:r>
      <w:r>
        <w:instrText xml:space="preserve"> HYPERLINK "https://my.gwu.edu/mod/pws/" </w:instrText>
      </w:r>
      <w:r>
        <w:fldChar w:fldCharType="separate"/>
      </w:r>
      <w:r>
        <w:rPr>
          <w:rStyle w:val="12"/>
          <w:rFonts w:asciiTheme="minorHAnsi" w:hAnsiTheme="minorHAnsi" w:eastAsiaTheme="majorEastAsia" w:cstheme="minorHAnsi"/>
          <w:szCs w:val="21"/>
        </w:rPr>
        <w:t>6</w:t>
      </w:r>
      <w:r>
        <w:rPr>
          <w:rStyle w:val="12"/>
          <w:rFonts w:hint="eastAsia" w:asciiTheme="minorHAnsi" w:hAnsiTheme="minorHAnsi" w:eastAsiaTheme="majorEastAsia" w:cstheme="minorHAnsi"/>
          <w:szCs w:val="21"/>
        </w:rPr>
        <w:t>5</w:t>
      </w:r>
      <w:r>
        <w:rPr>
          <w:rStyle w:val="12"/>
          <w:rFonts w:asciiTheme="minorHAnsi" w:hAnsiTheme="minorHAnsi" w:eastAsiaTheme="majorEastAsia" w:cstheme="minorHAnsi"/>
          <w:szCs w:val="21"/>
        </w:rPr>
        <w:t>0多门课</w:t>
      </w:r>
      <w:r>
        <w:rPr>
          <w:rStyle w:val="12"/>
          <w:rFonts w:asciiTheme="minorHAnsi" w:hAnsiTheme="minorHAnsi" w:eastAsiaTheme="majorEastAsia" w:cstheme="minorHAnsi"/>
          <w:szCs w:val="21"/>
        </w:rPr>
        <w:fldChar w:fldCharType="end"/>
      </w:r>
      <w:r>
        <w:rPr>
          <w:rFonts w:asciiTheme="minorHAnsi" w:hAnsiTheme="minorHAnsi" w:eastAsiaTheme="majorEastAsia" w:cstheme="minorHAnsi"/>
          <w:szCs w:val="21"/>
        </w:rPr>
        <w:t>可供选择</w:t>
      </w:r>
      <w:r>
        <w:rPr>
          <w:rFonts w:hint="eastAsia" w:asciiTheme="minorHAnsi" w:hAnsiTheme="minorHAnsi" w:eastAsiaTheme="majorEastAsia" w:cstheme="minorHAnsi"/>
          <w:szCs w:val="21"/>
        </w:rPr>
        <w:t>。选课范围涉及的学科领域很广泛，如：艺术、商科与经济学、国际关系、法律、政府、历史，文化与人文、健康科学、工程、数理科学、学术英语等。（注：学术英语也是学分课程，培养学生的批判性思维，帮助学生提高学术写作与研究能力，分为本科及研究生级别课程，每门课3学分；</w:t>
      </w:r>
      <w:r>
        <w:rPr>
          <w:rFonts w:asciiTheme="minorHAnsi" w:hAnsiTheme="minorHAnsi"/>
          <w:color w:val="444444"/>
        </w:rPr>
        <w:t>Milken</w:t>
      </w:r>
      <w:r>
        <w:rPr>
          <w:rFonts w:hint="eastAsia" w:asciiTheme="minorHAnsi" w:hAnsiTheme="minorHAnsi" w:eastAsiaTheme="majorEastAsia" w:cstheme="minorHAnsi"/>
          <w:szCs w:val="21"/>
        </w:rPr>
        <w:t>公共卫生学院与GW法学院的课程不可选，另有部分课程可能有专业限制）</w:t>
      </w:r>
      <w:r>
        <w:rPr>
          <w:rFonts w:asciiTheme="minorHAnsi" w:hAnsiTheme="minorHAnsi" w:eastAsiaTheme="majorEastAsia" w:cstheme="minorHAnsi"/>
          <w:szCs w:val="21"/>
        </w:rPr>
        <w:t>。</w:t>
      </w:r>
    </w:p>
    <w:p>
      <w:pPr>
        <w:pStyle w:val="19"/>
        <w:widowControl/>
        <w:spacing w:line="360" w:lineRule="auto"/>
        <w:ind w:left="426" w:firstLine="0" w:firstLineChars="0"/>
        <w:jc w:val="left"/>
        <w:rPr>
          <w:rFonts w:asciiTheme="minorHAnsi" w:hAnsiTheme="minorHAnsi" w:cstheme="minorHAnsi"/>
          <w:kern w:val="0"/>
          <w:szCs w:val="21"/>
        </w:rPr>
      </w:pPr>
      <w:r>
        <w:rPr>
          <w:rFonts w:asciiTheme="minorHAnsi" w:hAnsiTheme="minorHAnsi" w:eastAsiaTheme="majorEastAsia" w:cstheme="minorHAnsi"/>
          <w:szCs w:val="21"/>
        </w:rPr>
        <w:t>本科生和研究生均可参加项目，</w:t>
      </w:r>
      <w:r>
        <w:rPr>
          <w:rFonts w:hint="eastAsia" w:ascii="宋体" w:hAnsi="宋体" w:cs="宋体"/>
          <w:kern w:val="0"/>
          <w:szCs w:val="21"/>
        </w:rPr>
        <w:t>本科生必须选择两门专业课，</w:t>
      </w:r>
      <w:r>
        <w:rPr>
          <w:rFonts w:asciiTheme="minorHAnsi" w:hAnsiTheme="minorHAnsi" w:cstheme="minorHAnsi"/>
          <w:kern w:val="0"/>
          <w:szCs w:val="21"/>
        </w:rPr>
        <w:t>每门课3个专业课学分，</w:t>
      </w:r>
    </w:p>
    <w:p>
      <w:pPr>
        <w:widowControl/>
        <w:spacing w:line="360" w:lineRule="auto"/>
        <w:jc w:val="left"/>
        <w:rPr>
          <w:rFonts w:asciiTheme="minorHAnsi" w:hAnsiTheme="minorHAnsi" w:eastAsiaTheme="majorEastAsia" w:cstheme="minorHAnsi"/>
          <w:szCs w:val="21"/>
        </w:rPr>
      </w:pPr>
      <w:r>
        <w:rPr>
          <w:rFonts w:asciiTheme="minorHAnsi" w:hAnsiTheme="minorHAnsi" w:cstheme="minorHAnsi"/>
          <w:kern w:val="0"/>
          <w:szCs w:val="21"/>
        </w:rPr>
        <w:t>共修读6个学分；研究生可根据自身情况，选择一至两门专业课程，对应3-6个专业课学分。</w:t>
      </w:r>
      <w:r>
        <w:rPr>
          <w:rFonts w:asciiTheme="minorHAnsi" w:hAnsiTheme="minorHAnsi" w:eastAsiaTheme="majorEastAsia" w:cstheme="minorHAnsi"/>
          <w:szCs w:val="21"/>
        </w:rPr>
        <w:t>参加项目的学生与乔治华盛顿大学在读的暑期学生混合编班上课，体验世界一流名校的浓郁学术氛围。</w:t>
      </w:r>
    </w:p>
    <w:p>
      <w:pPr>
        <w:widowControl/>
        <w:spacing w:line="360" w:lineRule="auto"/>
        <w:ind w:firstLine="420" w:firstLineChars="200"/>
        <w:jc w:val="left"/>
        <w:rPr>
          <w:rFonts w:cs="宋体" w:asciiTheme="minorHAnsi" w:hAnsiTheme="minorHAnsi"/>
          <w:kern w:val="0"/>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u w:val="single"/>
        </w:rPr>
        <w:t>方向二：暑期学术研究课程（Summer Research Experience）</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暑期学术研究课程”项目专门面向国际访学生，旨在向学生介绍美国大学的跨学科研究方法，培养学生在问题分析、文献研究、团队协作、沟通演讲方面的综合能力；提升学生的研究与学术写作技巧；提高学生运用多样研究方法解决不同领域（如统计学、计算机科学、数学、生物信息学等）问题的能力。项目主要包括以下两门课程，每门课3学分：</w:t>
      </w:r>
    </w:p>
    <w:p>
      <w:pPr>
        <w:pStyle w:val="19"/>
        <w:widowControl/>
        <w:numPr>
          <w:ilvl w:val="0"/>
          <w:numId w:val="2"/>
        </w:numPr>
        <w:spacing w:line="360" w:lineRule="auto"/>
        <w:ind w:firstLine="422"/>
        <w:jc w:val="left"/>
        <w:rPr>
          <w:rFonts w:asciiTheme="minorHAnsi" w:hAnsiTheme="minorHAnsi" w:eastAsiaTheme="majorEastAsia" w:cstheme="minorHAnsi"/>
          <w:szCs w:val="21"/>
        </w:rPr>
      </w:pPr>
      <w:r>
        <w:rPr>
          <w:rFonts w:hint="eastAsia" w:asciiTheme="minorHAnsi" w:hAnsiTheme="minorHAnsi" w:eastAsiaTheme="majorEastAsia" w:cstheme="minorHAnsi"/>
          <w:b/>
          <w:szCs w:val="21"/>
        </w:rPr>
        <w:t>课程</w:t>
      </w:r>
      <w:r>
        <w:rPr>
          <w:rFonts w:asciiTheme="minorHAnsi" w:hAnsiTheme="minorHAnsi" w:eastAsiaTheme="majorEastAsia" w:cstheme="minorHAnsi"/>
          <w:b/>
          <w:szCs w:val="21"/>
        </w:rPr>
        <w:t>一：数据科学</w:t>
      </w:r>
      <w:r>
        <w:rPr>
          <w:rFonts w:hint="eastAsia" w:asciiTheme="minorHAnsi" w:hAnsiTheme="minorHAnsi" w:eastAsiaTheme="majorEastAsia" w:cstheme="minorHAnsi"/>
          <w:szCs w:val="21"/>
        </w:rPr>
        <w:t>。课程涵盖数据科学的基本技术、数据挖掘程序以及基础的统计学模型。自然科学与社会科学的学科研究都需要具备管理与分析大数据的能力，学生将学习如何在这些学科的研究中运用数据科学原则。专业人士会提出一些他们正致力于解决的现实问题，让学生以小组方式来设计解决方案。 自然科学领域涉及的主题包括天体物理学、生物信息学和数学等；社会科学领域则包括经济预测、政治竞选活动分析以及地域信息系统（GIS）等。</w:t>
      </w:r>
    </w:p>
    <w:p>
      <w:pPr>
        <w:pStyle w:val="19"/>
        <w:widowControl/>
        <w:numPr>
          <w:ilvl w:val="0"/>
          <w:numId w:val="3"/>
        </w:numPr>
        <w:spacing w:line="360" w:lineRule="auto"/>
        <w:ind w:firstLine="422"/>
        <w:jc w:val="left"/>
        <w:rPr>
          <w:rFonts w:asciiTheme="minorHAnsi" w:hAnsiTheme="minorHAnsi" w:eastAsiaTheme="majorEastAsia" w:cstheme="minorHAnsi"/>
          <w:szCs w:val="21"/>
        </w:rPr>
      </w:pPr>
      <w:r>
        <w:rPr>
          <w:rFonts w:hint="eastAsia" w:asciiTheme="minorHAnsi" w:hAnsiTheme="minorHAnsi" w:eastAsiaTheme="majorEastAsia" w:cstheme="minorHAnsi"/>
          <w:b/>
          <w:szCs w:val="21"/>
        </w:rPr>
        <w:t>课程二</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学术写作与研究</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写作与沟通是取得学术与职场成功的关键</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该课程旨在向学生</w:t>
      </w:r>
      <w:r>
        <w:rPr>
          <w:rFonts w:hint="eastAsia" w:asciiTheme="minorHAnsi" w:hAnsiTheme="minorHAnsi" w:eastAsiaTheme="majorEastAsia" w:cstheme="minorHAnsi"/>
          <w:szCs w:val="21"/>
        </w:rPr>
        <w:t>介绍</w:t>
      </w:r>
      <w:r>
        <w:rPr>
          <w:rFonts w:asciiTheme="minorHAnsi" w:hAnsiTheme="minorHAnsi" w:eastAsiaTheme="majorEastAsia" w:cstheme="minorHAnsi"/>
          <w:szCs w:val="21"/>
        </w:rPr>
        <w:t>美国大学学术写作的原则与方法。通过</w:t>
      </w:r>
      <w:r>
        <w:rPr>
          <w:rFonts w:hint="eastAsia" w:asciiTheme="minorHAnsi" w:hAnsiTheme="minorHAnsi" w:eastAsiaTheme="majorEastAsia" w:cstheme="minorHAnsi"/>
          <w:szCs w:val="21"/>
        </w:rPr>
        <w:t>学习</w:t>
      </w:r>
      <w:r>
        <w:rPr>
          <w:rFonts w:asciiTheme="minorHAnsi" w:hAnsiTheme="minorHAnsi" w:eastAsiaTheme="majorEastAsia" w:cstheme="minorHAnsi"/>
          <w:szCs w:val="21"/>
        </w:rPr>
        <w:t>，学生将能够理解</w:t>
      </w:r>
      <w:r>
        <w:rPr>
          <w:rFonts w:hint="eastAsia" w:asciiTheme="minorHAnsi" w:hAnsiTheme="minorHAnsi" w:eastAsiaTheme="majorEastAsia" w:cstheme="minorHAnsi"/>
          <w:szCs w:val="21"/>
        </w:rPr>
        <w:t>并</w:t>
      </w:r>
      <w:r>
        <w:rPr>
          <w:rFonts w:asciiTheme="minorHAnsi" w:hAnsiTheme="minorHAnsi" w:eastAsiaTheme="majorEastAsia" w:cstheme="minorHAnsi"/>
          <w:szCs w:val="21"/>
        </w:rPr>
        <w:t>分析写作</w:t>
      </w:r>
      <w:r>
        <w:rPr>
          <w:rFonts w:hint="eastAsia" w:asciiTheme="minorHAnsi" w:hAnsiTheme="minorHAnsi" w:eastAsiaTheme="majorEastAsia" w:cstheme="minorHAnsi"/>
          <w:szCs w:val="21"/>
        </w:rPr>
        <w:t>与</w:t>
      </w:r>
      <w:r>
        <w:rPr>
          <w:rFonts w:asciiTheme="minorHAnsi" w:hAnsiTheme="minorHAnsi" w:eastAsiaTheme="majorEastAsia" w:cstheme="minorHAnsi"/>
          <w:szCs w:val="21"/>
        </w:rPr>
        <w:t>沟通如何</w:t>
      </w:r>
      <w:r>
        <w:rPr>
          <w:rFonts w:hint="eastAsia" w:asciiTheme="minorHAnsi" w:hAnsiTheme="minorHAnsi" w:eastAsiaTheme="majorEastAsia" w:cstheme="minorHAnsi"/>
          <w:szCs w:val="21"/>
        </w:rPr>
        <w:t>解决</w:t>
      </w:r>
      <w:r>
        <w:rPr>
          <w:rFonts w:asciiTheme="minorHAnsi" w:hAnsiTheme="minorHAnsi" w:eastAsiaTheme="majorEastAsia" w:cstheme="minorHAnsi"/>
          <w:szCs w:val="21"/>
        </w:rPr>
        <w:t>统计学和数据科学中的典型问题</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并提供修辞</w:t>
      </w:r>
      <w:r>
        <w:rPr>
          <w:rFonts w:hint="eastAsia" w:asciiTheme="minorHAnsi" w:hAnsiTheme="minorHAnsi" w:eastAsiaTheme="majorEastAsia" w:cstheme="minorHAnsi"/>
          <w:szCs w:val="21"/>
        </w:rPr>
        <w:t>情境</w:t>
      </w:r>
      <w:r>
        <w:rPr>
          <w:rFonts w:asciiTheme="minorHAnsi" w:hAnsiTheme="minorHAnsi" w:eastAsiaTheme="majorEastAsia" w:cstheme="minorHAnsi"/>
          <w:szCs w:val="21"/>
        </w:rPr>
        <w:t>方面的支持。学生还将</w:t>
      </w:r>
      <w:r>
        <w:rPr>
          <w:rFonts w:hint="eastAsia" w:asciiTheme="minorHAnsi" w:hAnsiTheme="minorHAnsi" w:eastAsiaTheme="majorEastAsia" w:cstheme="minorHAnsi"/>
          <w:szCs w:val="21"/>
        </w:rPr>
        <w:t>掌握在</w:t>
      </w:r>
      <w:r>
        <w:rPr>
          <w:rFonts w:asciiTheme="minorHAnsi" w:hAnsiTheme="minorHAnsi" w:eastAsiaTheme="majorEastAsia" w:cstheme="minorHAnsi"/>
          <w:szCs w:val="21"/>
        </w:rPr>
        <w:t>标准化的数据科学任务中所需的沟通</w:t>
      </w:r>
      <w:r>
        <w:rPr>
          <w:rFonts w:hint="eastAsia" w:asciiTheme="minorHAnsi" w:hAnsiTheme="minorHAnsi" w:eastAsiaTheme="majorEastAsia" w:cstheme="minorHAnsi"/>
          <w:szCs w:val="21"/>
        </w:rPr>
        <w:t>技能</w:t>
      </w:r>
      <w:r>
        <w:rPr>
          <w:rFonts w:asciiTheme="minorHAnsi" w:hAnsiTheme="minorHAnsi" w:eastAsiaTheme="majorEastAsia" w:cstheme="minorHAnsi"/>
          <w:szCs w:val="21"/>
        </w:rPr>
        <w:t>，如提出并记录问题</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描述和解释数据</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以及讨论和</w:t>
      </w:r>
      <w:r>
        <w:rPr>
          <w:rFonts w:hint="eastAsia" w:asciiTheme="minorHAnsi" w:hAnsiTheme="minorHAnsi" w:eastAsiaTheme="majorEastAsia" w:cstheme="minorHAnsi"/>
          <w:szCs w:val="21"/>
        </w:rPr>
        <w:t>演示所选主题的研究成果。该课程为小班授课，使学生有充足的机会与老师及同学进行互动。</w:t>
      </w:r>
      <w:r>
        <w:rPr>
          <w:rFonts w:asciiTheme="minorHAnsi" w:hAnsiTheme="minorHAnsi" w:eastAsiaTheme="majorEastAsia" w:cstheme="minorHAnsi"/>
          <w:szCs w:val="21"/>
        </w:rPr>
        <w:br w:type="textWrapping"/>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 项目费用</w:t>
      </w:r>
    </w:p>
    <w:p>
      <w:pPr>
        <w:spacing w:line="360" w:lineRule="auto"/>
        <w:ind w:firstLine="422" w:firstLineChars="200"/>
        <w:rPr>
          <w:rFonts w:asciiTheme="minorHAnsi" w:hAnsiTheme="minorHAnsi" w:eastAsiaTheme="majorEastAsia" w:cstheme="minorHAnsi"/>
          <w:szCs w:val="21"/>
        </w:rPr>
      </w:pPr>
      <w:r>
        <w:rPr>
          <w:rFonts w:cs="Calibri" w:asciiTheme="minorHAnsi" w:hAnsiTheme="minorHAnsi"/>
          <w:b/>
          <w:color w:val="000000" w:themeColor="text1"/>
          <w:szCs w:val="21"/>
          <w14:textFill>
            <w14:solidFill>
              <w14:schemeClr w14:val="tx1"/>
            </w14:solidFill>
          </w14:textFill>
        </w:rPr>
        <w:t>由全美国际教育协会与我校共同选拔的</w:t>
      </w:r>
      <w:r>
        <w:rPr>
          <w:rFonts w:hint="eastAsia" w:cs="Calibri" w:asciiTheme="minorHAnsi" w:hAnsiTheme="minorHAnsi"/>
          <w:b/>
          <w:color w:val="000000" w:themeColor="text1"/>
          <w:szCs w:val="21"/>
          <w14:textFill>
            <w14:solidFill>
              <w14:schemeClr w14:val="tx1"/>
            </w14:solidFill>
          </w14:textFill>
        </w:rPr>
        <w:t>学生，</w:t>
      </w:r>
      <w:r>
        <w:rPr>
          <w:rFonts w:hint="eastAsia" w:cs="Calibri" w:asciiTheme="minorHAnsi" w:hAnsiTheme="minorHAnsi"/>
          <w:b/>
          <w:color w:val="FF0000"/>
          <w:szCs w:val="21"/>
        </w:rPr>
        <w:t>可享</w:t>
      </w:r>
      <w:r>
        <w:rPr>
          <w:rFonts w:hint="eastAsia" w:asciiTheme="minorHAnsi" w:hAnsiTheme="minorHAnsi" w:eastAsiaTheme="majorEastAsia" w:cstheme="minorHAnsi"/>
          <w:b/>
          <w:color w:val="FF0000"/>
          <w:szCs w:val="21"/>
        </w:rPr>
        <w:t>乔治</w:t>
      </w:r>
      <w:r>
        <w:rPr>
          <w:rFonts w:asciiTheme="minorHAnsi" w:hAnsiTheme="minorHAnsi" w:eastAsiaTheme="majorEastAsia" w:cstheme="minorHAnsi"/>
          <w:b/>
          <w:color w:val="FF0000"/>
          <w:szCs w:val="21"/>
        </w:rPr>
        <w:t>华盛顿大学</w:t>
      </w:r>
      <w:r>
        <w:rPr>
          <w:rFonts w:hint="eastAsia" w:cs="Calibri" w:asciiTheme="minorHAnsi" w:hAnsiTheme="minorHAnsi"/>
          <w:b/>
          <w:color w:val="FF0000"/>
          <w:szCs w:val="21"/>
        </w:rPr>
        <w:t>50%学费减免</w:t>
      </w:r>
      <w:r>
        <w:rPr>
          <w:rFonts w:hint="eastAsia" w:cs="Calibri" w:asciiTheme="minorHAnsi" w:hAnsiTheme="minorHAnsi"/>
          <w:color w:val="000000" w:themeColor="text1"/>
          <w:szCs w:val="21"/>
          <w14:textFill>
            <w14:solidFill>
              <w14:schemeClr w14:val="tx1"/>
            </w14:solidFill>
          </w14:textFill>
        </w:rPr>
        <w:t>。以下为根据2017年标准预估的2018年暑期</w:t>
      </w:r>
      <w:r>
        <w:rPr>
          <w:rFonts w:asciiTheme="minorHAnsi" w:hAnsiTheme="minorHAnsi" w:eastAsiaTheme="majorEastAsia" w:cstheme="minorHAnsi"/>
          <w:szCs w:val="21"/>
        </w:rPr>
        <w:t>项目费用</w:t>
      </w:r>
      <w:r>
        <w:rPr>
          <w:rFonts w:hint="eastAsia" w:asciiTheme="minorHAnsi" w:hAnsiTheme="minorHAnsi" w:eastAsiaTheme="majorEastAsia" w:cstheme="minorHAnsi"/>
          <w:szCs w:val="21"/>
        </w:rPr>
        <w:t>，实际费用以校方最终公布的费用为准：</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本科生：选修两门课的费用约为8,997美元（约合人民币6万元）</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研究生：选修一门课的费用约为6,594美元（约合人民币4.4万元）；选修两门课的费用约为8,997美元（约合人民币6万元）</w:t>
      </w:r>
    </w:p>
    <w:p>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项目费用包括学费</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申请费</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项目杂费、学生宿舍住宿</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在读期间医疗保险及项目设计与管理费</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不含机票</w:t>
      </w:r>
      <w:r>
        <w:rPr>
          <w:rFonts w:hint="eastAsia" w:asciiTheme="minorHAnsi" w:hAnsiTheme="minorHAnsi" w:eastAsiaTheme="majorEastAsia" w:cstheme="minorHAnsi"/>
          <w:szCs w:val="21"/>
        </w:rPr>
        <w:t>、F-1</w:t>
      </w:r>
      <w:r>
        <w:rPr>
          <w:rFonts w:asciiTheme="minorHAnsi" w:hAnsiTheme="minorHAnsi" w:eastAsiaTheme="majorEastAsia" w:cstheme="minorHAnsi"/>
          <w:szCs w:val="21"/>
        </w:rPr>
        <w:t>签证费与</w:t>
      </w:r>
      <w:r>
        <w:rPr>
          <w:rFonts w:hint="eastAsia" w:asciiTheme="minorHAnsi" w:hAnsiTheme="minorHAnsi" w:eastAsiaTheme="majorEastAsia" w:cstheme="minorHAnsi"/>
          <w:szCs w:val="21"/>
        </w:rPr>
        <w:t>SEVIS费、餐费与个人消费</w:t>
      </w:r>
      <w:r>
        <w:rPr>
          <w:rFonts w:asciiTheme="minorHAnsi" w:hAnsiTheme="minorHAnsi" w:eastAsiaTheme="majorEastAsia" w:cstheme="minorHAnsi"/>
          <w:szCs w:val="21"/>
        </w:rPr>
        <w:t>。</w:t>
      </w:r>
    </w:p>
    <w:p>
      <w:pPr>
        <w:spacing w:line="360" w:lineRule="auto"/>
        <w:ind w:firstLine="420" w:firstLineChars="200"/>
        <w:rPr>
          <w:rFonts w:asciiTheme="minorHAnsi" w:hAnsiTheme="minorHAnsi" w:eastAsiaTheme="majorEastAsia" w:cstheme="minorHAnsi"/>
          <w:szCs w:val="21"/>
        </w:rPr>
      </w:pP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申请条件</w:t>
      </w:r>
    </w:p>
    <w:p>
      <w:pPr>
        <w:pStyle w:val="19"/>
        <w:numPr>
          <w:ilvl w:val="0"/>
          <w:numId w:val="5"/>
        </w:numPr>
        <w:spacing w:line="360" w:lineRule="auto"/>
        <w:ind w:firstLineChars="0"/>
        <w:rPr>
          <w:rFonts w:hint="eastAsia" w:asciiTheme="minorHAnsi" w:hAnsiTheme="minorHAnsi" w:eastAsiaTheme="majorEastAsia" w:cstheme="minorHAnsi"/>
          <w:szCs w:val="21"/>
        </w:rPr>
      </w:pPr>
      <w:r>
        <w:rPr>
          <w:rFonts w:asciiTheme="minorHAnsi" w:hAnsiTheme="minorHAnsi" w:eastAsiaTheme="majorEastAsia" w:cstheme="minorHAnsi"/>
          <w:szCs w:val="21"/>
        </w:rPr>
        <w:t>仅限本校全日制在校生</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本科和研究生均可申请；成绩优异、道德品质好，在校期间未受过纪律处分，身心健康，能顺利完成在美学习任务；</w:t>
      </w:r>
    </w:p>
    <w:p>
      <w:pPr>
        <w:pStyle w:val="19"/>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pPr>
        <w:pStyle w:val="19"/>
        <w:numPr>
          <w:ilvl w:val="0"/>
          <w:numId w:val="5"/>
        </w:numPr>
        <w:spacing w:line="360" w:lineRule="auto"/>
        <w:ind w:firstLineChars="0"/>
        <w:rPr>
          <w:rFonts w:asciiTheme="minorHAnsi" w:hAnsiTheme="minorHAnsi" w:eastAsiaTheme="majorEastAsia" w:cstheme="minorHAnsi"/>
          <w:color w:val="FF0000"/>
          <w:szCs w:val="21"/>
        </w:rPr>
      </w:pPr>
      <w:r>
        <w:rPr>
          <w:rFonts w:asciiTheme="minorHAnsi" w:hAnsiTheme="minorHAnsi" w:eastAsiaTheme="majorEastAsia" w:cstheme="minorHAnsi"/>
          <w:szCs w:val="21"/>
        </w:rPr>
        <w:t>英语要求</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托福80</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或雅思6.</w:t>
      </w:r>
      <w:r>
        <w:rPr>
          <w:rFonts w:hint="eastAsia" w:asciiTheme="minorHAnsi" w:hAnsiTheme="minorHAnsi" w:eastAsiaTheme="majorEastAsia" w:cstheme="minorHAnsi"/>
          <w:szCs w:val="21"/>
        </w:rPr>
        <w:t>0（单项不低于5.0）。</w:t>
      </w:r>
      <w:r>
        <w:rPr>
          <w:rFonts w:hint="eastAsia" w:asciiTheme="minorHAnsi" w:hAnsiTheme="minorHAnsi" w:eastAsiaTheme="majorEastAsia" w:cstheme="minorHAnsi"/>
          <w:color w:val="FF0000"/>
          <w:szCs w:val="21"/>
        </w:rPr>
        <w:t>学术研究课程可接受具有大学英语四级493分的学生。</w:t>
      </w:r>
      <w:r>
        <w:rPr>
          <w:rFonts w:asciiTheme="minorHAnsi" w:hAnsiTheme="minorHAnsi" w:eastAsiaTheme="majorEastAsia" w:cstheme="minorHAnsi"/>
          <w:color w:val="FF0000"/>
          <w:szCs w:val="21"/>
        </w:rPr>
        <w:t xml:space="preserve"> </w:t>
      </w:r>
    </w:p>
    <w:p>
      <w:pPr>
        <w:pStyle w:val="19"/>
        <w:numPr>
          <w:ilvl w:val="0"/>
          <w:numId w:val="5"/>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19"/>
        <w:numPr>
          <w:ilvl w:val="0"/>
          <w:numId w:val="5"/>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乔治华盛顿</w:t>
      </w:r>
      <w:r>
        <w:rPr>
          <w:rFonts w:asciiTheme="minorHAnsi" w:hAnsiTheme="minorHAnsi" w:eastAsiaTheme="majorEastAsia" w:cstheme="minorHAnsi"/>
          <w:szCs w:val="21"/>
        </w:rPr>
        <w:t>大学的学术审核、以及我校院系及国际交流处的派出资格审核。</w:t>
      </w:r>
    </w:p>
    <w:p>
      <w:pPr>
        <w:pStyle w:val="19"/>
        <w:spacing w:line="360" w:lineRule="auto"/>
        <w:ind w:left="570" w:firstLine="0" w:firstLineChars="0"/>
        <w:rPr>
          <w:rFonts w:asciiTheme="minorHAnsi" w:hAnsiTheme="minorHAnsi" w:eastAsiaTheme="majorEastAsia" w:cstheme="minorHAnsi"/>
          <w:szCs w:val="21"/>
        </w:rPr>
      </w:pPr>
    </w:p>
    <w:p>
      <w:pPr>
        <w:pStyle w:val="19"/>
        <w:numPr>
          <w:ilvl w:val="0"/>
          <w:numId w:val="1"/>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1、 学生本人提出申请，在学校国际合作交流处（外事处）报名；</w:t>
      </w:r>
    </w:p>
    <w:p>
      <w:pPr>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2、 同时登录项目选拔管理机构 -- 全美国际教育协会网站</w:t>
      </w:r>
      <w:r>
        <w:fldChar w:fldCharType="begin"/>
      </w:r>
      <w:r>
        <w:instrText xml:space="preserve"> HYPERLINK "http://www.usiea.org" </w:instrText>
      </w:r>
      <w:r>
        <w:fldChar w:fldCharType="separate"/>
      </w:r>
      <w:r>
        <w:rPr>
          <w:rStyle w:val="12"/>
          <w:rFonts w:hint="eastAsia" w:asciiTheme="minorHAnsi" w:hAnsiTheme="minorHAnsi" w:eastAsiaTheme="majorEastAsia" w:cstheme="minorHAnsi"/>
          <w:szCs w:val="21"/>
        </w:rPr>
        <w:t>www.usiea.org</w:t>
      </w:r>
      <w:r>
        <w:rPr>
          <w:rStyle w:val="12"/>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填写《美国名校访学201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学年</w:t>
      </w:r>
      <w:r>
        <w:rPr>
          <w:rFonts w:hint="eastAsia" w:asciiTheme="minorHAnsi" w:hAnsiTheme="minorHAnsi" w:eastAsiaTheme="majorEastAsia" w:cstheme="minorHAnsi"/>
          <w:szCs w:val="21"/>
        </w:rPr>
        <w:t>夏秋</w:t>
      </w:r>
      <w:r>
        <w:rPr>
          <w:rFonts w:asciiTheme="minorHAnsi" w:hAnsiTheme="minorHAnsi" w:eastAsiaTheme="majorEastAsia" w:cstheme="minorHAnsi"/>
          <w:szCs w:val="21"/>
        </w:rPr>
        <w:t>项目报名表》，网上报名的时间决定录取的顺序和安排宿舍的顺序；</w:t>
      </w:r>
    </w:p>
    <w:p>
      <w:pPr>
        <w:pStyle w:val="19"/>
        <w:numPr>
          <w:ilvl w:val="0"/>
          <w:numId w:val="6"/>
        </w:numPr>
        <w:spacing w:line="360" w:lineRule="auto"/>
        <w:ind w:firstLineChars="0"/>
        <w:jc w:val="left"/>
        <w:rPr>
          <w:rFonts w:cs="Calibri" w:asciiTheme="minorHAnsi" w:hAnsiTheme="minorHAnsi"/>
          <w:sz w:val="22"/>
        </w:rPr>
      </w:pPr>
      <w:r>
        <w:rPr>
          <w:rFonts w:asciiTheme="minorHAnsi" w:hAnsiTheme="minorHAnsi" w:eastAsiaTheme="majorEastAsia" w:cstheme="minorHAnsi"/>
          <w:szCs w:val="21"/>
        </w:rPr>
        <w:t>学生申请资料经初步审核后，参加面试确定预录取名单；</w:t>
      </w:r>
    </w:p>
    <w:p>
      <w:pPr>
        <w:pStyle w:val="19"/>
        <w:numPr>
          <w:ilvl w:val="0"/>
          <w:numId w:val="6"/>
        </w:numPr>
        <w:spacing w:line="360" w:lineRule="auto"/>
        <w:ind w:firstLineChars="0"/>
        <w:jc w:val="left"/>
        <w:rPr>
          <w:rFonts w:cs="Calibri" w:asciiTheme="minorHAnsi" w:hAnsiTheme="minorHAnsi"/>
          <w:sz w:val="22"/>
        </w:rPr>
      </w:pPr>
      <w:r>
        <w:rPr>
          <w:rFonts w:cs="Calibri" w:asciiTheme="minorHAnsi" w:hAnsiTheme="minorHAnsi"/>
          <w:sz w:val="22"/>
        </w:rPr>
        <w:t>学生提交正式申请材料并缴纳项目费用，获得学校录取及签证后赴美学习；</w:t>
      </w:r>
    </w:p>
    <w:p>
      <w:pPr>
        <w:numPr>
          <w:ilvl w:val="0"/>
          <w:numId w:val="6"/>
        </w:numPr>
        <w:spacing w:line="360" w:lineRule="auto"/>
        <w:rPr>
          <w:rFonts w:cs="Calibri" w:asciiTheme="minorHAnsi" w:hAnsiTheme="minorHAnsi"/>
          <w:sz w:val="22"/>
        </w:rPr>
      </w:pPr>
      <w:r>
        <w:rPr>
          <w:rFonts w:cs="Calibri" w:asciiTheme="minorHAnsi" w:hAnsiTheme="minorHAnsi"/>
          <w:sz w:val="22"/>
        </w:rPr>
        <w:t>申请截止日期：</w:t>
      </w:r>
      <w:r>
        <w:rPr>
          <w:rFonts w:cs="Calibri" w:asciiTheme="minorHAnsi" w:hAnsiTheme="minorHAnsi"/>
          <w:szCs w:val="21"/>
        </w:rPr>
        <w:t xml:space="preserve"> 201</w:t>
      </w:r>
      <w:r>
        <w:rPr>
          <w:rFonts w:hint="eastAsia" w:cs="Calibri" w:asciiTheme="minorHAnsi" w:hAnsiTheme="minorHAnsi"/>
          <w:szCs w:val="21"/>
        </w:rPr>
        <w:t>8</w:t>
      </w:r>
      <w:r>
        <w:rPr>
          <w:rFonts w:cs="Calibri" w:asciiTheme="minorHAnsi" w:hAnsiTheme="minorHAnsi"/>
          <w:szCs w:val="21"/>
        </w:rPr>
        <w:t>年</w:t>
      </w:r>
      <w:r>
        <w:rPr>
          <w:rFonts w:hint="eastAsia" w:asciiTheme="minorHAnsi" w:hAnsiTheme="minorHAnsi" w:eastAsiaTheme="majorEastAsia" w:cstheme="minorHAnsi"/>
          <w:kern w:val="0"/>
          <w:szCs w:val="21"/>
        </w:rPr>
        <w:t>4月30日</w:t>
      </w:r>
      <w:r>
        <w:rPr>
          <w:rFonts w:hint="eastAsia" w:asciiTheme="minorHAnsi" w:hAnsiTheme="minorHAnsi" w:eastAsiaTheme="majorEastAsia" w:cstheme="minorHAnsi"/>
          <w:kern w:val="0"/>
          <w:szCs w:val="21"/>
          <w:lang w:val="en-US" w:eastAsia="zh-CN"/>
        </w:rPr>
        <w:t>。</w:t>
      </w:r>
      <w:r>
        <w:rPr>
          <w:rFonts w:cs="Calibri" w:asciiTheme="minorHAnsi" w:hAnsiTheme="minorHAnsi"/>
          <w:color w:val="FF0000"/>
          <w:szCs w:val="21"/>
        </w:rPr>
        <w:t xml:space="preserve"> </w:t>
      </w:r>
    </w:p>
    <w:p>
      <w:pPr>
        <w:spacing w:line="360" w:lineRule="auto"/>
        <w:jc w:val="left"/>
        <w:rPr>
          <w:rFonts w:asciiTheme="minorHAnsi" w:hAnsiTheme="minorHAnsi" w:eastAsiaTheme="majorEastAsia" w:cstheme="minorHAnsi"/>
          <w:szCs w:val="21"/>
        </w:rPr>
      </w:pP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项目管理</w:t>
      </w:r>
    </w:p>
    <w:p>
      <w:pPr>
        <w:spacing w:line="360" w:lineRule="auto"/>
        <w:ind w:firstLine="440" w:firstLineChars="200"/>
        <w:rPr>
          <w:rFonts w:ascii="宋体" w:hAnsi="宋体" w:cs="宋体"/>
          <w:b/>
          <w:bCs/>
          <w:kern w:val="0"/>
          <w:sz w:val="22"/>
        </w:rPr>
      </w:pPr>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国际交流处负责对外联系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ascii="Calibri" w:hAnsi="Calibri" w:cs="Calibri"/>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jc w:val="left"/>
        <w:rPr>
          <w:rFonts w:ascii="Calibri" w:hAnsi="Calibri" w:cs="Calibri"/>
          <w:kern w:val="0"/>
          <w:sz w:val="22"/>
        </w:rPr>
      </w:pPr>
      <w:r>
        <w:rPr>
          <w:rFonts w:hint="eastAsia" w:ascii="宋体" w:hAnsi="宋体" w:cs="宋体"/>
          <w:kern w:val="0"/>
          <w:sz w:val="22"/>
        </w:rPr>
        <w:t>全美国际教育协会咨询电话:</w:t>
      </w:r>
      <w:r>
        <w:rPr>
          <w:rFonts w:hint="eastAsia" w:ascii="宋体" w:hAnsi="宋体" w:cs="宋体"/>
          <w:kern w:val="0"/>
          <w:sz w:val="22"/>
          <w:lang w:val="en-US" w:eastAsia="zh-CN"/>
        </w:rPr>
        <w:t xml:space="preserve"> </w:t>
      </w:r>
      <w:r>
        <w:rPr>
          <w:rFonts w:hint="eastAsia" w:ascii="Calibri" w:hAnsi="Calibri" w:cs="Calibri"/>
          <w:kern w:val="0"/>
          <w:sz w:val="22"/>
        </w:rPr>
        <w:t>18988936428 李老师</w:t>
      </w:r>
      <w:r>
        <w:rPr>
          <w:rFonts w:ascii="Calibri" w:hAnsi="Calibri" w:cs="Calibri"/>
          <w:kern w:val="0"/>
          <w:sz w:val="22"/>
        </w:rPr>
        <w:t>（周一至周五 9:00—18:00）</w:t>
      </w:r>
    </w:p>
    <w:p>
      <w:pPr>
        <w:spacing w:line="360" w:lineRule="auto"/>
        <w:jc w:val="left"/>
        <w:rPr>
          <w:rFonts w:ascii="Calibri" w:hAnsi="Calibri" w:cs="Calibri"/>
          <w:kern w:val="0"/>
          <w:sz w:val="22"/>
          <w:highlight w:val="none"/>
        </w:rPr>
      </w:pPr>
      <w:r>
        <w:rPr>
          <w:rFonts w:ascii="Calibri" w:hAnsi="Calibri" w:cs="Calibri"/>
          <w:kern w:val="0"/>
          <w:sz w:val="22"/>
          <w:highlight w:val="none"/>
        </w:rPr>
        <w:t>全美国际教育协会官网：</w:t>
      </w:r>
      <w:r>
        <w:rPr>
          <w:highlight w:val="none"/>
        </w:rPr>
        <w:fldChar w:fldCharType="begin"/>
      </w:r>
      <w:r>
        <w:rPr>
          <w:highlight w:val="none"/>
        </w:rPr>
        <w:instrText xml:space="preserve"> HYPERLINK "http://www.usiea.org" </w:instrText>
      </w:r>
      <w:r>
        <w:rPr>
          <w:highlight w:val="none"/>
        </w:rPr>
        <w:fldChar w:fldCharType="separate"/>
      </w:r>
      <w:r>
        <w:rPr>
          <w:rFonts w:ascii="Calibri" w:hAnsi="Calibri" w:cs="Calibri"/>
          <w:color w:val="0068B7"/>
          <w:kern w:val="0"/>
          <w:sz w:val="22"/>
          <w:highlight w:val="none"/>
        </w:rPr>
        <w:t>www.usiea.org</w:t>
      </w:r>
      <w:r>
        <w:rPr>
          <w:rFonts w:ascii="Calibri" w:hAnsi="Calibri" w:cs="Calibri"/>
          <w:color w:val="0068B7"/>
          <w:kern w:val="0"/>
          <w:sz w:val="22"/>
          <w:highlight w:val="none"/>
        </w:rPr>
        <w:fldChar w:fldCharType="end"/>
      </w:r>
      <w:r>
        <w:rPr>
          <w:rFonts w:ascii="Calibri" w:hAnsi="Calibri" w:cs="Calibri"/>
          <w:kern w:val="0"/>
          <w:sz w:val="22"/>
          <w:highlight w:val="none"/>
        </w:rPr>
        <w:t xml:space="preserve"> </w:t>
      </w:r>
    </w:p>
    <w:p>
      <w:pPr>
        <w:spacing w:line="360" w:lineRule="auto"/>
        <w:rPr>
          <w:rFonts w:ascii="Calibri" w:hAnsi="Calibri" w:cs="Calibri"/>
          <w:kern w:val="0"/>
          <w:sz w:val="22"/>
        </w:rPr>
      </w:pPr>
      <w:r>
        <w:rPr>
          <w:rFonts w:ascii="Calibri" w:hAnsi="Calibri" w:cs="Calibri"/>
          <w:kern w:val="0"/>
          <w:sz w:val="22"/>
        </w:rPr>
        <w:t>全美国际教育协会官微：全美国际访学微刊</w:t>
      </w:r>
    </w:p>
    <w:p>
      <w:pPr>
        <w:widowControl/>
        <w:spacing w:line="360" w:lineRule="auto"/>
        <w:jc w:val="left"/>
        <w:rPr>
          <w:rFonts w:cs="宋体" w:asciiTheme="minorHAnsi" w:hAnsiTheme="minorHAnsi"/>
          <w:kern w:val="0"/>
          <w:szCs w:val="21"/>
        </w:rPr>
      </w:pPr>
      <w:bookmarkStart w:id="0" w:name="_GoBack"/>
      <w:bookmarkEnd w:id="0"/>
      <w:r>
        <w:rPr>
          <w:rFonts w:cs="Calibri" w:asciiTheme="minorHAnsi" w:hAnsiTheme="minorHAnsi"/>
          <w:kern w:val="0"/>
          <w:sz w:val="22"/>
        </w:rPr>
        <w:t>项目邮箱咨询：</w:t>
      </w:r>
      <w:r>
        <w:fldChar w:fldCharType="begin"/>
      </w:r>
      <w:r>
        <w:instrText xml:space="preserve"> HYPERLINK "mailto:visitgwu@yeah.net" </w:instrText>
      </w:r>
      <w:r>
        <w:fldChar w:fldCharType="separate"/>
      </w:r>
      <w:r>
        <w:rPr>
          <w:rStyle w:val="12"/>
          <w:rFonts w:cs="Calibri" w:asciiTheme="minorHAnsi" w:hAnsiTheme="minorHAnsi"/>
          <w:kern w:val="0"/>
          <w:sz w:val="22"/>
        </w:rPr>
        <w:t>visitgwu@yeah.net</w:t>
      </w:r>
      <w:r>
        <w:rPr>
          <w:rStyle w:val="12"/>
          <w:rFonts w:cs="Calibri" w:asciiTheme="minorHAnsi" w:hAnsiTheme="minorHAnsi"/>
          <w:kern w:val="0"/>
          <w:sz w:val="22"/>
        </w:rPr>
        <w:fldChar w:fldCharType="end"/>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CA7"/>
    <w:multiLevelType w:val="multilevel"/>
    <w:tmpl w:val="148D1C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C0648FE"/>
    <w:multiLevelType w:val="multilevel"/>
    <w:tmpl w:val="1C0648FE"/>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
    <w:nsid w:val="4CDD7D33"/>
    <w:multiLevelType w:val="multilevel"/>
    <w:tmpl w:val="4CDD7D33"/>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03F3F"/>
    <w:rsid w:val="00005020"/>
    <w:rsid w:val="00006712"/>
    <w:rsid w:val="000077A9"/>
    <w:rsid w:val="00010F31"/>
    <w:rsid w:val="000169DD"/>
    <w:rsid w:val="00022AFD"/>
    <w:rsid w:val="000230BD"/>
    <w:rsid w:val="00023476"/>
    <w:rsid w:val="000236D2"/>
    <w:rsid w:val="00024C64"/>
    <w:rsid w:val="00025206"/>
    <w:rsid w:val="0003068E"/>
    <w:rsid w:val="00030A02"/>
    <w:rsid w:val="00031403"/>
    <w:rsid w:val="0003562C"/>
    <w:rsid w:val="000362BD"/>
    <w:rsid w:val="00040016"/>
    <w:rsid w:val="000402B0"/>
    <w:rsid w:val="00041148"/>
    <w:rsid w:val="00041BDA"/>
    <w:rsid w:val="00044B87"/>
    <w:rsid w:val="00046229"/>
    <w:rsid w:val="000519A2"/>
    <w:rsid w:val="00051A3D"/>
    <w:rsid w:val="0005389A"/>
    <w:rsid w:val="00060047"/>
    <w:rsid w:val="0006181E"/>
    <w:rsid w:val="00065242"/>
    <w:rsid w:val="00066BB4"/>
    <w:rsid w:val="000758EB"/>
    <w:rsid w:val="000820F9"/>
    <w:rsid w:val="000840CC"/>
    <w:rsid w:val="0009206E"/>
    <w:rsid w:val="000953D3"/>
    <w:rsid w:val="000954F4"/>
    <w:rsid w:val="000A0A86"/>
    <w:rsid w:val="000A2A22"/>
    <w:rsid w:val="000A4030"/>
    <w:rsid w:val="000A5251"/>
    <w:rsid w:val="000B1A29"/>
    <w:rsid w:val="000B346F"/>
    <w:rsid w:val="000B3A73"/>
    <w:rsid w:val="000B621C"/>
    <w:rsid w:val="000C2F7C"/>
    <w:rsid w:val="000C3F5B"/>
    <w:rsid w:val="000C4E56"/>
    <w:rsid w:val="000C5C18"/>
    <w:rsid w:val="000C7F9A"/>
    <w:rsid w:val="000D4BC5"/>
    <w:rsid w:val="000E1209"/>
    <w:rsid w:val="000E71FC"/>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FE8"/>
    <w:rsid w:val="00131D30"/>
    <w:rsid w:val="00134011"/>
    <w:rsid w:val="00135F93"/>
    <w:rsid w:val="00137744"/>
    <w:rsid w:val="00143294"/>
    <w:rsid w:val="00146AB9"/>
    <w:rsid w:val="00152785"/>
    <w:rsid w:val="001535A1"/>
    <w:rsid w:val="0015457B"/>
    <w:rsid w:val="00155FCC"/>
    <w:rsid w:val="00167799"/>
    <w:rsid w:val="00170451"/>
    <w:rsid w:val="001738F0"/>
    <w:rsid w:val="00173AC0"/>
    <w:rsid w:val="00176F21"/>
    <w:rsid w:val="00182AE1"/>
    <w:rsid w:val="00182E04"/>
    <w:rsid w:val="001834A2"/>
    <w:rsid w:val="0018354F"/>
    <w:rsid w:val="00186190"/>
    <w:rsid w:val="00190118"/>
    <w:rsid w:val="00192C0F"/>
    <w:rsid w:val="001A0C7A"/>
    <w:rsid w:val="001A281F"/>
    <w:rsid w:val="001A7D56"/>
    <w:rsid w:val="001B1730"/>
    <w:rsid w:val="001B1E96"/>
    <w:rsid w:val="001C1A51"/>
    <w:rsid w:val="001C6985"/>
    <w:rsid w:val="001D01C6"/>
    <w:rsid w:val="001D4042"/>
    <w:rsid w:val="001D458C"/>
    <w:rsid w:val="001D4EF4"/>
    <w:rsid w:val="001E31D7"/>
    <w:rsid w:val="001E4E86"/>
    <w:rsid w:val="001E5D98"/>
    <w:rsid w:val="001F1FCF"/>
    <w:rsid w:val="001F5524"/>
    <w:rsid w:val="001F67D2"/>
    <w:rsid w:val="00201963"/>
    <w:rsid w:val="00202030"/>
    <w:rsid w:val="00203BFF"/>
    <w:rsid w:val="002133F2"/>
    <w:rsid w:val="0021711E"/>
    <w:rsid w:val="002202A8"/>
    <w:rsid w:val="00220AE0"/>
    <w:rsid w:val="00220E2D"/>
    <w:rsid w:val="002211FB"/>
    <w:rsid w:val="0022214B"/>
    <w:rsid w:val="002274D9"/>
    <w:rsid w:val="00233816"/>
    <w:rsid w:val="00240E4E"/>
    <w:rsid w:val="002441C6"/>
    <w:rsid w:val="002449A1"/>
    <w:rsid w:val="002465AF"/>
    <w:rsid w:val="00251642"/>
    <w:rsid w:val="00254207"/>
    <w:rsid w:val="00255140"/>
    <w:rsid w:val="00261406"/>
    <w:rsid w:val="00261C11"/>
    <w:rsid w:val="00271BCB"/>
    <w:rsid w:val="00274A34"/>
    <w:rsid w:val="00275270"/>
    <w:rsid w:val="0028056A"/>
    <w:rsid w:val="00280A41"/>
    <w:rsid w:val="002852EE"/>
    <w:rsid w:val="00286224"/>
    <w:rsid w:val="002906DF"/>
    <w:rsid w:val="0029179F"/>
    <w:rsid w:val="00292326"/>
    <w:rsid w:val="00295361"/>
    <w:rsid w:val="002954BF"/>
    <w:rsid w:val="00296088"/>
    <w:rsid w:val="00296348"/>
    <w:rsid w:val="00297E1A"/>
    <w:rsid w:val="002A3386"/>
    <w:rsid w:val="002A402F"/>
    <w:rsid w:val="002B61DD"/>
    <w:rsid w:val="002B7076"/>
    <w:rsid w:val="002C2028"/>
    <w:rsid w:val="002C229B"/>
    <w:rsid w:val="002C27D4"/>
    <w:rsid w:val="002C3134"/>
    <w:rsid w:val="002C612F"/>
    <w:rsid w:val="002C6AEB"/>
    <w:rsid w:val="002C722D"/>
    <w:rsid w:val="002D04D0"/>
    <w:rsid w:val="002D6E47"/>
    <w:rsid w:val="002D76B2"/>
    <w:rsid w:val="002D7B20"/>
    <w:rsid w:val="002E0BA0"/>
    <w:rsid w:val="002E1476"/>
    <w:rsid w:val="002E3299"/>
    <w:rsid w:val="002E4985"/>
    <w:rsid w:val="002E64CC"/>
    <w:rsid w:val="002F1A53"/>
    <w:rsid w:val="002F3568"/>
    <w:rsid w:val="002F7AB9"/>
    <w:rsid w:val="003013CE"/>
    <w:rsid w:val="0030157A"/>
    <w:rsid w:val="00302995"/>
    <w:rsid w:val="00303D3D"/>
    <w:rsid w:val="003047BA"/>
    <w:rsid w:val="00313A58"/>
    <w:rsid w:val="0031712B"/>
    <w:rsid w:val="0032092A"/>
    <w:rsid w:val="00321528"/>
    <w:rsid w:val="00321717"/>
    <w:rsid w:val="00321D5F"/>
    <w:rsid w:val="00330EF0"/>
    <w:rsid w:val="00333C15"/>
    <w:rsid w:val="00342D9D"/>
    <w:rsid w:val="00342E7E"/>
    <w:rsid w:val="0035066E"/>
    <w:rsid w:val="003508E4"/>
    <w:rsid w:val="00352A1D"/>
    <w:rsid w:val="00353816"/>
    <w:rsid w:val="003574A4"/>
    <w:rsid w:val="00361CCF"/>
    <w:rsid w:val="00364A0C"/>
    <w:rsid w:val="003738EA"/>
    <w:rsid w:val="00375491"/>
    <w:rsid w:val="00381E2C"/>
    <w:rsid w:val="003822A8"/>
    <w:rsid w:val="00383DCC"/>
    <w:rsid w:val="00386A4E"/>
    <w:rsid w:val="00386C51"/>
    <w:rsid w:val="00387362"/>
    <w:rsid w:val="00390C9A"/>
    <w:rsid w:val="00390FCA"/>
    <w:rsid w:val="00394A95"/>
    <w:rsid w:val="00396306"/>
    <w:rsid w:val="00397742"/>
    <w:rsid w:val="003A6BB9"/>
    <w:rsid w:val="003B4151"/>
    <w:rsid w:val="003B669C"/>
    <w:rsid w:val="003B786E"/>
    <w:rsid w:val="003B7F55"/>
    <w:rsid w:val="003C6EF7"/>
    <w:rsid w:val="003D0F7B"/>
    <w:rsid w:val="003D0FE9"/>
    <w:rsid w:val="003D13F7"/>
    <w:rsid w:val="003D2BCE"/>
    <w:rsid w:val="003D4037"/>
    <w:rsid w:val="003D4529"/>
    <w:rsid w:val="003D4B46"/>
    <w:rsid w:val="003D5531"/>
    <w:rsid w:val="003D5F48"/>
    <w:rsid w:val="003D7B86"/>
    <w:rsid w:val="003E01B3"/>
    <w:rsid w:val="003E3199"/>
    <w:rsid w:val="003E7DA0"/>
    <w:rsid w:val="003F050A"/>
    <w:rsid w:val="003F059B"/>
    <w:rsid w:val="003F16A0"/>
    <w:rsid w:val="003F50D1"/>
    <w:rsid w:val="003F5D96"/>
    <w:rsid w:val="003F5F88"/>
    <w:rsid w:val="00404265"/>
    <w:rsid w:val="0041273F"/>
    <w:rsid w:val="0042204E"/>
    <w:rsid w:val="00426325"/>
    <w:rsid w:val="00430B91"/>
    <w:rsid w:val="004330A9"/>
    <w:rsid w:val="00437A33"/>
    <w:rsid w:val="004469A3"/>
    <w:rsid w:val="00450E94"/>
    <w:rsid w:val="0045270B"/>
    <w:rsid w:val="00454C45"/>
    <w:rsid w:val="00455152"/>
    <w:rsid w:val="004624BE"/>
    <w:rsid w:val="00464F1E"/>
    <w:rsid w:val="00465A92"/>
    <w:rsid w:val="004679CE"/>
    <w:rsid w:val="00470270"/>
    <w:rsid w:val="00471CBF"/>
    <w:rsid w:val="00472046"/>
    <w:rsid w:val="00480534"/>
    <w:rsid w:val="00481A67"/>
    <w:rsid w:val="00485AD1"/>
    <w:rsid w:val="00486AA5"/>
    <w:rsid w:val="004932B6"/>
    <w:rsid w:val="004946E0"/>
    <w:rsid w:val="00495E6D"/>
    <w:rsid w:val="004A1602"/>
    <w:rsid w:val="004A51A8"/>
    <w:rsid w:val="004B49EE"/>
    <w:rsid w:val="004B4D89"/>
    <w:rsid w:val="004B516E"/>
    <w:rsid w:val="004C0E26"/>
    <w:rsid w:val="004C15F5"/>
    <w:rsid w:val="004C343D"/>
    <w:rsid w:val="004C5277"/>
    <w:rsid w:val="004C6632"/>
    <w:rsid w:val="004D2423"/>
    <w:rsid w:val="004D3884"/>
    <w:rsid w:val="004D5BBA"/>
    <w:rsid w:val="004D5D38"/>
    <w:rsid w:val="004E0748"/>
    <w:rsid w:val="004E728E"/>
    <w:rsid w:val="004F0AAB"/>
    <w:rsid w:val="004F743F"/>
    <w:rsid w:val="004F7C1B"/>
    <w:rsid w:val="00500A8F"/>
    <w:rsid w:val="00500DE1"/>
    <w:rsid w:val="005028D5"/>
    <w:rsid w:val="005043E9"/>
    <w:rsid w:val="00504FF1"/>
    <w:rsid w:val="005060F9"/>
    <w:rsid w:val="0051106C"/>
    <w:rsid w:val="00512BAE"/>
    <w:rsid w:val="005143A6"/>
    <w:rsid w:val="00520C0E"/>
    <w:rsid w:val="00522EAE"/>
    <w:rsid w:val="00523C32"/>
    <w:rsid w:val="005250F2"/>
    <w:rsid w:val="00525703"/>
    <w:rsid w:val="005260BE"/>
    <w:rsid w:val="00527573"/>
    <w:rsid w:val="005326B5"/>
    <w:rsid w:val="005339BB"/>
    <w:rsid w:val="00536F45"/>
    <w:rsid w:val="00537EE6"/>
    <w:rsid w:val="005447E3"/>
    <w:rsid w:val="00547E75"/>
    <w:rsid w:val="00554D5C"/>
    <w:rsid w:val="00555016"/>
    <w:rsid w:val="005559B9"/>
    <w:rsid w:val="00556212"/>
    <w:rsid w:val="005606AC"/>
    <w:rsid w:val="005643D6"/>
    <w:rsid w:val="0057138A"/>
    <w:rsid w:val="00572B6E"/>
    <w:rsid w:val="005762B0"/>
    <w:rsid w:val="00584716"/>
    <w:rsid w:val="005849E3"/>
    <w:rsid w:val="00584E4F"/>
    <w:rsid w:val="00584E6C"/>
    <w:rsid w:val="005868F6"/>
    <w:rsid w:val="00586D6C"/>
    <w:rsid w:val="00587D18"/>
    <w:rsid w:val="00596D1A"/>
    <w:rsid w:val="005A31F5"/>
    <w:rsid w:val="005A65C8"/>
    <w:rsid w:val="005B5140"/>
    <w:rsid w:val="005B69C2"/>
    <w:rsid w:val="005C27A1"/>
    <w:rsid w:val="005C67D4"/>
    <w:rsid w:val="005C7CC0"/>
    <w:rsid w:val="005D0683"/>
    <w:rsid w:val="005D6F09"/>
    <w:rsid w:val="005E09FF"/>
    <w:rsid w:val="005E5A41"/>
    <w:rsid w:val="005E674A"/>
    <w:rsid w:val="005E6E17"/>
    <w:rsid w:val="005F0AD3"/>
    <w:rsid w:val="005F6112"/>
    <w:rsid w:val="00606AA2"/>
    <w:rsid w:val="00606C4F"/>
    <w:rsid w:val="00610563"/>
    <w:rsid w:val="00610575"/>
    <w:rsid w:val="006107E7"/>
    <w:rsid w:val="0061228A"/>
    <w:rsid w:val="006131C5"/>
    <w:rsid w:val="00617A76"/>
    <w:rsid w:val="00621516"/>
    <w:rsid w:val="00621ED0"/>
    <w:rsid w:val="00622238"/>
    <w:rsid w:val="00624BB2"/>
    <w:rsid w:val="00632329"/>
    <w:rsid w:val="00636A3C"/>
    <w:rsid w:val="00637AD1"/>
    <w:rsid w:val="006415DA"/>
    <w:rsid w:val="006452B3"/>
    <w:rsid w:val="00657FCD"/>
    <w:rsid w:val="0066295A"/>
    <w:rsid w:val="00663035"/>
    <w:rsid w:val="00664055"/>
    <w:rsid w:val="00666CF9"/>
    <w:rsid w:val="00667457"/>
    <w:rsid w:val="00667A61"/>
    <w:rsid w:val="00670ED6"/>
    <w:rsid w:val="006740B4"/>
    <w:rsid w:val="0067541F"/>
    <w:rsid w:val="00683559"/>
    <w:rsid w:val="006858D5"/>
    <w:rsid w:val="00687DBB"/>
    <w:rsid w:val="00696B1C"/>
    <w:rsid w:val="006A01E8"/>
    <w:rsid w:val="006A2B5F"/>
    <w:rsid w:val="006A32C4"/>
    <w:rsid w:val="006A6CD7"/>
    <w:rsid w:val="006A72B8"/>
    <w:rsid w:val="006B576E"/>
    <w:rsid w:val="006B7C51"/>
    <w:rsid w:val="006C1F05"/>
    <w:rsid w:val="006C2070"/>
    <w:rsid w:val="006C4514"/>
    <w:rsid w:val="006D5B15"/>
    <w:rsid w:val="006D642C"/>
    <w:rsid w:val="006F038D"/>
    <w:rsid w:val="00700EA9"/>
    <w:rsid w:val="0070255A"/>
    <w:rsid w:val="00705986"/>
    <w:rsid w:val="00705BEF"/>
    <w:rsid w:val="00706179"/>
    <w:rsid w:val="0071139B"/>
    <w:rsid w:val="007113DD"/>
    <w:rsid w:val="0071430B"/>
    <w:rsid w:val="00720659"/>
    <w:rsid w:val="0072201D"/>
    <w:rsid w:val="00726857"/>
    <w:rsid w:val="00727B01"/>
    <w:rsid w:val="007328BD"/>
    <w:rsid w:val="00733292"/>
    <w:rsid w:val="00734D73"/>
    <w:rsid w:val="00736663"/>
    <w:rsid w:val="00740DD5"/>
    <w:rsid w:val="007423FD"/>
    <w:rsid w:val="00743412"/>
    <w:rsid w:val="00760C7A"/>
    <w:rsid w:val="007619AD"/>
    <w:rsid w:val="00762330"/>
    <w:rsid w:val="007640E0"/>
    <w:rsid w:val="007652B1"/>
    <w:rsid w:val="00770616"/>
    <w:rsid w:val="00770E19"/>
    <w:rsid w:val="00772B66"/>
    <w:rsid w:val="00772E22"/>
    <w:rsid w:val="00772ECB"/>
    <w:rsid w:val="00774257"/>
    <w:rsid w:val="00775505"/>
    <w:rsid w:val="00776AE1"/>
    <w:rsid w:val="00777630"/>
    <w:rsid w:val="007807CA"/>
    <w:rsid w:val="00785C31"/>
    <w:rsid w:val="00795004"/>
    <w:rsid w:val="00796C00"/>
    <w:rsid w:val="007977EE"/>
    <w:rsid w:val="007A01B4"/>
    <w:rsid w:val="007A03BE"/>
    <w:rsid w:val="007A07E5"/>
    <w:rsid w:val="007A385D"/>
    <w:rsid w:val="007A3E79"/>
    <w:rsid w:val="007A7362"/>
    <w:rsid w:val="007B436B"/>
    <w:rsid w:val="007B5A17"/>
    <w:rsid w:val="007B7729"/>
    <w:rsid w:val="007C2153"/>
    <w:rsid w:val="007C5BAC"/>
    <w:rsid w:val="007C66DE"/>
    <w:rsid w:val="007D0768"/>
    <w:rsid w:val="007D224F"/>
    <w:rsid w:val="007D2FE4"/>
    <w:rsid w:val="007D62F3"/>
    <w:rsid w:val="007D67D4"/>
    <w:rsid w:val="007E0C8A"/>
    <w:rsid w:val="007E2951"/>
    <w:rsid w:val="007E3816"/>
    <w:rsid w:val="007E3ADE"/>
    <w:rsid w:val="007F5700"/>
    <w:rsid w:val="00802548"/>
    <w:rsid w:val="00802957"/>
    <w:rsid w:val="00814AA6"/>
    <w:rsid w:val="008153A8"/>
    <w:rsid w:val="008267EE"/>
    <w:rsid w:val="0083050D"/>
    <w:rsid w:val="00831C27"/>
    <w:rsid w:val="00832E9B"/>
    <w:rsid w:val="00837952"/>
    <w:rsid w:val="008432ED"/>
    <w:rsid w:val="00843F7D"/>
    <w:rsid w:val="008450F3"/>
    <w:rsid w:val="00851871"/>
    <w:rsid w:val="00853833"/>
    <w:rsid w:val="00860271"/>
    <w:rsid w:val="0086227D"/>
    <w:rsid w:val="00863FEE"/>
    <w:rsid w:val="008653E0"/>
    <w:rsid w:val="00866BD2"/>
    <w:rsid w:val="0087133B"/>
    <w:rsid w:val="0088113C"/>
    <w:rsid w:val="00881CA9"/>
    <w:rsid w:val="0088500C"/>
    <w:rsid w:val="0089014A"/>
    <w:rsid w:val="008902CF"/>
    <w:rsid w:val="008966E9"/>
    <w:rsid w:val="008B4949"/>
    <w:rsid w:val="008B4A3B"/>
    <w:rsid w:val="008B56E5"/>
    <w:rsid w:val="008B79D1"/>
    <w:rsid w:val="008B7F03"/>
    <w:rsid w:val="008C1F77"/>
    <w:rsid w:val="008D3CFE"/>
    <w:rsid w:val="008D55B7"/>
    <w:rsid w:val="008D5E6C"/>
    <w:rsid w:val="008D7F16"/>
    <w:rsid w:val="008E2F80"/>
    <w:rsid w:val="008E4534"/>
    <w:rsid w:val="008E54DB"/>
    <w:rsid w:val="008F1045"/>
    <w:rsid w:val="008F1FD1"/>
    <w:rsid w:val="009018E4"/>
    <w:rsid w:val="00903AB5"/>
    <w:rsid w:val="00903BED"/>
    <w:rsid w:val="00905613"/>
    <w:rsid w:val="00905BF1"/>
    <w:rsid w:val="00907BE2"/>
    <w:rsid w:val="00913572"/>
    <w:rsid w:val="009171E7"/>
    <w:rsid w:val="00917A3B"/>
    <w:rsid w:val="0092087F"/>
    <w:rsid w:val="0092377F"/>
    <w:rsid w:val="00930DF7"/>
    <w:rsid w:val="00936821"/>
    <w:rsid w:val="009409B4"/>
    <w:rsid w:val="00940A3E"/>
    <w:rsid w:val="0094120B"/>
    <w:rsid w:val="0094276A"/>
    <w:rsid w:val="00942C75"/>
    <w:rsid w:val="009501C8"/>
    <w:rsid w:val="00951195"/>
    <w:rsid w:val="00952045"/>
    <w:rsid w:val="00952BA5"/>
    <w:rsid w:val="009531E1"/>
    <w:rsid w:val="00954D69"/>
    <w:rsid w:val="009554FB"/>
    <w:rsid w:val="00957EEC"/>
    <w:rsid w:val="00961B5B"/>
    <w:rsid w:val="00961BAD"/>
    <w:rsid w:val="00963696"/>
    <w:rsid w:val="009642E6"/>
    <w:rsid w:val="009645E2"/>
    <w:rsid w:val="00965CCC"/>
    <w:rsid w:val="00972BCD"/>
    <w:rsid w:val="0097304E"/>
    <w:rsid w:val="0097647D"/>
    <w:rsid w:val="00983752"/>
    <w:rsid w:val="00983EF6"/>
    <w:rsid w:val="00991E6C"/>
    <w:rsid w:val="00994EDE"/>
    <w:rsid w:val="009959F3"/>
    <w:rsid w:val="00995FFE"/>
    <w:rsid w:val="009964B0"/>
    <w:rsid w:val="009A0012"/>
    <w:rsid w:val="009A11C1"/>
    <w:rsid w:val="009A27F7"/>
    <w:rsid w:val="009A292D"/>
    <w:rsid w:val="009A4CAF"/>
    <w:rsid w:val="009A5C60"/>
    <w:rsid w:val="009A69B5"/>
    <w:rsid w:val="009B0D73"/>
    <w:rsid w:val="009B3167"/>
    <w:rsid w:val="009B44DD"/>
    <w:rsid w:val="009C020C"/>
    <w:rsid w:val="009C25A0"/>
    <w:rsid w:val="009C44ED"/>
    <w:rsid w:val="009C5D67"/>
    <w:rsid w:val="009C698C"/>
    <w:rsid w:val="009C7A2D"/>
    <w:rsid w:val="009C7CE4"/>
    <w:rsid w:val="009E18AF"/>
    <w:rsid w:val="009E4A3B"/>
    <w:rsid w:val="009E535E"/>
    <w:rsid w:val="009E5D88"/>
    <w:rsid w:val="009F0653"/>
    <w:rsid w:val="009F7FCB"/>
    <w:rsid w:val="00A00B17"/>
    <w:rsid w:val="00A07695"/>
    <w:rsid w:val="00A07DCE"/>
    <w:rsid w:val="00A1042E"/>
    <w:rsid w:val="00A1794D"/>
    <w:rsid w:val="00A207E1"/>
    <w:rsid w:val="00A220C6"/>
    <w:rsid w:val="00A2358C"/>
    <w:rsid w:val="00A23C33"/>
    <w:rsid w:val="00A2663A"/>
    <w:rsid w:val="00A31C85"/>
    <w:rsid w:val="00A32B62"/>
    <w:rsid w:val="00A32C2E"/>
    <w:rsid w:val="00A33A9E"/>
    <w:rsid w:val="00A50BF4"/>
    <w:rsid w:val="00A568B0"/>
    <w:rsid w:val="00A60310"/>
    <w:rsid w:val="00A623DF"/>
    <w:rsid w:val="00A67B5E"/>
    <w:rsid w:val="00A72E16"/>
    <w:rsid w:val="00A76003"/>
    <w:rsid w:val="00A76D78"/>
    <w:rsid w:val="00A83140"/>
    <w:rsid w:val="00A843DA"/>
    <w:rsid w:val="00A84830"/>
    <w:rsid w:val="00A92D51"/>
    <w:rsid w:val="00AA1738"/>
    <w:rsid w:val="00AA2334"/>
    <w:rsid w:val="00AA4DC4"/>
    <w:rsid w:val="00AB05C6"/>
    <w:rsid w:val="00AB66D7"/>
    <w:rsid w:val="00AB694F"/>
    <w:rsid w:val="00AC32C6"/>
    <w:rsid w:val="00AD37E5"/>
    <w:rsid w:val="00AD7BA1"/>
    <w:rsid w:val="00AE32F1"/>
    <w:rsid w:val="00AE7E79"/>
    <w:rsid w:val="00AF1520"/>
    <w:rsid w:val="00AF5247"/>
    <w:rsid w:val="00AF78C6"/>
    <w:rsid w:val="00AF7CB4"/>
    <w:rsid w:val="00B00961"/>
    <w:rsid w:val="00B01ADE"/>
    <w:rsid w:val="00B01F4F"/>
    <w:rsid w:val="00B12237"/>
    <w:rsid w:val="00B12F3C"/>
    <w:rsid w:val="00B22841"/>
    <w:rsid w:val="00B24FF7"/>
    <w:rsid w:val="00B2543C"/>
    <w:rsid w:val="00B26192"/>
    <w:rsid w:val="00B262CD"/>
    <w:rsid w:val="00B40A66"/>
    <w:rsid w:val="00B450ED"/>
    <w:rsid w:val="00B50CF4"/>
    <w:rsid w:val="00B55BC5"/>
    <w:rsid w:val="00B57B39"/>
    <w:rsid w:val="00B60E9C"/>
    <w:rsid w:val="00B6632A"/>
    <w:rsid w:val="00B67C18"/>
    <w:rsid w:val="00B74F9C"/>
    <w:rsid w:val="00B76A1E"/>
    <w:rsid w:val="00B77188"/>
    <w:rsid w:val="00B801E0"/>
    <w:rsid w:val="00B83422"/>
    <w:rsid w:val="00B841C1"/>
    <w:rsid w:val="00B86083"/>
    <w:rsid w:val="00B8765A"/>
    <w:rsid w:val="00B955B3"/>
    <w:rsid w:val="00BA15F6"/>
    <w:rsid w:val="00BB0CAA"/>
    <w:rsid w:val="00BB11A8"/>
    <w:rsid w:val="00BB2026"/>
    <w:rsid w:val="00BB3F12"/>
    <w:rsid w:val="00BC2ABE"/>
    <w:rsid w:val="00BC3B43"/>
    <w:rsid w:val="00BC5535"/>
    <w:rsid w:val="00BE02A7"/>
    <w:rsid w:val="00BE2788"/>
    <w:rsid w:val="00BE6F4C"/>
    <w:rsid w:val="00BE7E70"/>
    <w:rsid w:val="00BF460C"/>
    <w:rsid w:val="00BF5F9C"/>
    <w:rsid w:val="00C02F99"/>
    <w:rsid w:val="00C05D8E"/>
    <w:rsid w:val="00C06B20"/>
    <w:rsid w:val="00C06CBE"/>
    <w:rsid w:val="00C123C3"/>
    <w:rsid w:val="00C126DF"/>
    <w:rsid w:val="00C15DBB"/>
    <w:rsid w:val="00C444EA"/>
    <w:rsid w:val="00C44F99"/>
    <w:rsid w:val="00C50408"/>
    <w:rsid w:val="00C50DF8"/>
    <w:rsid w:val="00C5114A"/>
    <w:rsid w:val="00C55BB5"/>
    <w:rsid w:val="00C64953"/>
    <w:rsid w:val="00C72F22"/>
    <w:rsid w:val="00C745E3"/>
    <w:rsid w:val="00C7494D"/>
    <w:rsid w:val="00C75C2E"/>
    <w:rsid w:val="00C766EF"/>
    <w:rsid w:val="00C773FC"/>
    <w:rsid w:val="00C807AA"/>
    <w:rsid w:val="00C80EE6"/>
    <w:rsid w:val="00C817A7"/>
    <w:rsid w:val="00C861B2"/>
    <w:rsid w:val="00CA2A8B"/>
    <w:rsid w:val="00CA65E9"/>
    <w:rsid w:val="00CB1784"/>
    <w:rsid w:val="00CB2F24"/>
    <w:rsid w:val="00CB4339"/>
    <w:rsid w:val="00CB67B9"/>
    <w:rsid w:val="00CB6A55"/>
    <w:rsid w:val="00CC06D4"/>
    <w:rsid w:val="00CC1890"/>
    <w:rsid w:val="00CC480B"/>
    <w:rsid w:val="00CC72C5"/>
    <w:rsid w:val="00CC7310"/>
    <w:rsid w:val="00CD056C"/>
    <w:rsid w:val="00CD332E"/>
    <w:rsid w:val="00CD41C2"/>
    <w:rsid w:val="00CD4647"/>
    <w:rsid w:val="00CE06FC"/>
    <w:rsid w:val="00CE4335"/>
    <w:rsid w:val="00D03331"/>
    <w:rsid w:val="00D04A33"/>
    <w:rsid w:val="00D062FA"/>
    <w:rsid w:val="00D073EA"/>
    <w:rsid w:val="00D07A87"/>
    <w:rsid w:val="00D110BB"/>
    <w:rsid w:val="00D12776"/>
    <w:rsid w:val="00D12D35"/>
    <w:rsid w:val="00D16BE4"/>
    <w:rsid w:val="00D2092D"/>
    <w:rsid w:val="00D31AFE"/>
    <w:rsid w:val="00D332D6"/>
    <w:rsid w:val="00D346FC"/>
    <w:rsid w:val="00D351C9"/>
    <w:rsid w:val="00D35444"/>
    <w:rsid w:val="00D3691D"/>
    <w:rsid w:val="00D371C4"/>
    <w:rsid w:val="00D42657"/>
    <w:rsid w:val="00D471D1"/>
    <w:rsid w:val="00D50E81"/>
    <w:rsid w:val="00D577A0"/>
    <w:rsid w:val="00D634D8"/>
    <w:rsid w:val="00D63C2D"/>
    <w:rsid w:val="00D651FF"/>
    <w:rsid w:val="00D70197"/>
    <w:rsid w:val="00D71DEB"/>
    <w:rsid w:val="00D73882"/>
    <w:rsid w:val="00D754A6"/>
    <w:rsid w:val="00D80609"/>
    <w:rsid w:val="00D82BB6"/>
    <w:rsid w:val="00D96CBF"/>
    <w:rsid w:val="00DA100A"/>
    <w:rsid w:val="00DA25AD"/>
    <w:rsid w:val="00DA73E5"/>
    <w:rsid w:val="00DB0090"/>
    <w:rsid w:val="00DB1679"/>
    <w:rsid w:val="00DC2F1C"/>
    <w:rsid w:val="00DC2F84"/>
    <w:rsid w:val="00DC4BA2"/>
    <w:rsid w:val="00DD4C8D"/>
    <w:rsid w:val="00DD7FB4"/>
    <w:rsid w:val="00DF1C7E"/>
    <w:rsid w:val="00DF2CF8"/>
    <w:rsid w:val="00DF4AB0"/>
    <w:rsid w:val="00DF66EE"/>
    <w:rsid w:val="00E00371"/>
    <w:rsid w:val="00E07A31"/>
    <w:rsid w:val="00E17346"/>
    <w:rsid w:val="00E23047"/>
    <w:rsid w:val="00E23270"/>
    <w:rsid w:val="00E23833"/>
    <w:rsid w:val="00E309FD"/>
    <w:rsid w:val="00E34DD0"/>
    <w:rsid w:val="00E401EA"/>
    <w:rsid w:val="00E403D4"/>
    <w:rsid w:val="00E50150"/>
    <w:rsid w:val="00E5049F"/>
    <w:rsid w:val="00E61308"/>
    <w:rsid w:val="00E61E70"/>
    <w:rsid w:val="00E64653"/>
    <w:rsid w:val="00E67E38"/>
    <w:rsid w:val="00E76995"/>
    <w:rsid w:val="00E80E43"/>
    <w:rsid w:val="00E8311C"/>
    <w:rsid w:val="00E85437"/>
    <w:rsid w:val="00E87A04"/>
    <w:rsid w:val="00E922B4"/>
    <w:rsid w:val="00E94534"/>
    <w:rsid w:val="00E97970"/>
    <w:rsid w:val="00EA4003"/>
    <w:rsid w:val="00EB0151"/>
    <w:rsid w:val="00EB2B49"/>
    <w:rsid w:val="00EB7ED2"/>
    <w:rsid w:val="00EC43C8"/>
    <w:rsid w:val="00ED1806"/>
    <w:rsid w:val="00ED3F02"/>
    <w:rsid w:val="00ED457C"/>
    <w:rsid w:val="00EE0B92"/>
    <w:rsid w:val="00EE0F0E"/>
    <w:rsid w:val="00EE68D2"/>
    <w:rsid w:val="00EF14B7"/>
    <w:rsid w:val="00EF44AD"/>
    <w:rsid w:val="00F014F8"/>
    <w:rsid w:val="00F05715"/>
    <w:rsid w:val="00F13937"/>
    <w:rsid w:val="00F141F1"/>
    <w:rsid w:val="00F17267"/>
    <w:rsid w:val="00F237B1"/>
    <w:rsid w:val="00F27587"/>
    <w:rsid w:val="00F307F9"/>
    <w:rsid w:val="00F3131F"/>
    <w:rsid w:val="00F32538"/>
    <w:rsid w:val="00F34A00"/>
    <w:rsid w:val="00F34D93"/>
    <w:rsid w:val="00F413B3"/>
    <w:rsid w:val="00F535FA"/>
    <w:rsid w:val="00F61472"/>
    <w:rsid w:val="00F62AEB"/>
    <w:rsid w:val="00F66A6D"/>
    <w:rsid w:val="00F707BD"/>
    <w:rsid w:val="00F72010"/>
    <w:rsid w:val="00F73307"/>
    <w:rsid w:val="00F76428"/>
    <w:rsid w:val="00F77798"/>
    <w:rsid w:val="00F77B4D"/>
    <w:rsid w:val="00F80A70"/>
    <w:rsid w:val="00F820F7"/>
    <w:rsid w:val="00F82F19"/>
    <w:rsid w:val="00F83A44"/>
    <w:rsid w:val="00F85C22"/>
    <w:rsid w:val="00F86B12"/>
    <w:rsid w:val="00F87AC6"/>
    <w:rsid w:val="00F91B05"/>
    <w:rsid w:val="00F94E53"/>
    <w:rsid w:val="00F979AC"/>
    <w:rsid w:val="00FA5A8C"/>
    <w:rsid w:val="00FA6353"/>
    <w:rsid w:val="00FB32DE"/>
    <w:rsid w:val="00FB3951"/>
    <w:rsid w:val="00FB7A50"/>
    <w:rsid w:val="00FC0DF5"/>
    <w:rsid w:val="00FC44B5"/>
    <w:rsid w:val="00FC6127"/>
    <w:rsid w:val="00FC7A4D"/>
    <w:rsid w:val="00FD08A0"/>
    <w:rsid w:val="00FD2E42"/>
    <w:rsid w:val="00FD4AA6"/>
    <w:rsid w:val="00FD7D7D"/>
    <w:rsid w:val="00FE29AF"/>
    <w:rsid w:val="00FE2B9E"/>
    <w:rsid w:val="00FE31B5"/>
    <w:rsid w:val="00FE6123"/>
    <w:rsid w:val="00FE6555"/>
    <w:rsid w:val="00FF2A73"/>
    <w:rsid w:val="00FF3A60"/>
    <w:rsid w:val="00FF51E1"/>
    <w:rsid w:val="00FF66CE"/>
    <w:rsid w:val="07722EFF"/>
    <w:rsid w:val="0FF1642D"/>
    <w:rsid w:val="1D597D58"/>
    <w:rsid w:val="30726D64"/>
    <w:rsid w:val="6582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1"/>
    <w:uiPriority w:val="0"/>
    <w:rPr>
      <w:b/>
      <w:bCs/>
    </w:rPr>
  </w:style>
  <w:style w:type="paragraph" w:styleId="4">
    <w:name w:val="annotation text"/>
    <w:basedOn w:val="1"/>
    <w:link w:val="20"/>
    <w:qFormat/>
    <w:uiPriority w:val="0"/>
    <w:pPr>
      <w:jc w:val="left"/>
    </w:pPr>
  </w:style>
  <w:style w:type="paragraph" w:styleId="5">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Hyperlink"/>
    <w:qFormat/>
    <w:uiPriority w:val="0"/>
    <w:rPr>
      <w:color w:val="0068B7"/>
      <w:u w:val="none"/>
    </w:rPr>
  </w:style>
  <w:style w:type="character" w:styleId="13">
    <w:name w:val="annotation reference"/>
    <w:basedOn w:val="10"/>
    <w:qFormat/>
    <w:uiPriority w:val="0"/>
    <w:rPr>
      <w:sz w:val="21"/>
      <w:szCs w:val="21"/>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141"/>
    <w:qFormat/>
    <w:uiPriority w:val="0"/>
    <w:rPr>
      <w:sz w:val="21"/>
      <w:szCs w:val="21"/>
    </w:rPr>
  </w:style>
  <w:style w:type="character" w:customStyle="1" w:styleId="17">
    <w:name w:val="ztag pre"/>
    <w:basedOn w:val="10"/>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Char"/>
    <w:basedOn w:val="10"/>
    <w:link w:val="4"/>
    <w:qFormat/>
    <w:uiPriority w:val="0"/>
    <w:rPr>
      <w:kern w:val="2"/>
      <w:sz w:val="21"/>
      <w:szCs w:val="24"/>
    </w:rPr>
  </w:style>
  <w:style w:type="character" w:customStyle="1" w:styleId="21">
    <w:name w:val="批注主题 Char"/>
    <w:basedOn w:val="20"/>
    <w:link w:val="3"/>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465</Words>
  <Characters>2653</Characters>
  <Lines>22</Lines>
  <Paragraphs>6</Paragraphs>
  <ScaleCrop>false</ScaleCrop>
  <LinksUpToDate>false</LinksUpToDate>
  <CharactersWithSpaces>3112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2017-10-30T02:05:00Z</dcterms:created>
  <dc:creator>全美国际教育协会</dc:creator>
  <cp:lastModifiedBy>USIEA-Crystal</cp:lastModifiedBy>
  <cp:lastPrinted>2011-12-16T08:54:00Z</cp:lastPrinted>
  <dcterms:modified xsi:type="dcterms:W3CDTF">2018-01-25T02:53:27Z</dcterms:modified>
  <dc:title>加州大学河滨分校短期访学项目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